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527" w:rsidRDefault="00262527" w:rsidP="00906B6C">
      <w:pPr>
        <w:rPr>
          <w:b/>
          <w:bCs/>
          <w:sz w:val="28"/>
          <w:szCs w:val="28"/>
        </w:rPr>
      </w:pPr>
    </w:p>
    <w:p w:rsidR="006C0CA7" w:rsidRPr="00E304A8" w:rsidRDefault="006C0CA7" w:rsidP="001220A8">
      <w:pPr>
        <w:ind w:left="2880"/>
        <w:rPr>
          <w:sz w:val="20"/>
          <w:szCs w:val="20"/>
        </w:rPr>
      </w:pPr>
      <w:r w:rsidRPr="00E304A8">
        <w:rPr>
          <w:b/>
          <w:bCs/>
          <w:sz w:val="28"/>
          <w:szCs w:val="28"/>
        </w:rPr>
        <w:t>TENDER APPLICATION FORM</w:t>
      </w:r>
    </w:p>
    <w:p w:rsidR="006C0CA7" w:rsidRPr="00E304A8" w:rsidRDefault="006C0CA7" w:rsidP="006C0CA7">
      <w:pPr>
        <w:spacing w:line="20" w:lineRule="exact"/>
      </w:pPr>
    </w:p>
    <w:p w:rsidR="006C0CA7" w:rsidRPr="00E304A8" w:rsidRDefault="006C0CA7" w:rsidP="006C0CA7">
      <w:pPr>
        <w:spacing w:line="159" w:lineRule="exact"/>
      </w:pPr>
    </w:p>
    <w:tbl>
      <w:tblPr>
        <w:tblStyle w:val="TableGrid"/>
        <w:tblW w:w="0" w:type="auto"/>
        <w:tblLook w:val="04A0" w:firstRow="1" w:lastRow="0" w:firstColumn="1" w:lastColumn="0" w:noHBand="0" w:noVBand="1"/>
      </w:tblPr>
      <w:tblGrid>
        <w:gridCol w:w="9350"/>
      </w:tblGrid>
      <w:tr w:rsidR="006C0CA7" w:rsidRPr="00E304A8" w:rsidTr="008D282D">
        <w:trPr>
          <w:trHeight w:val="2996"/>
        </w:trPr>
        <w:tc>
          <w:tcPr>
            <w:tcW w:w="10076" w:type="dxa"/>
          </w:tcPr>
          <w:p w:rsidR="006C0CA7" w:rsidRPr="00E304A8" w:rsidRDefault="006C0CA7" w:rsidP="008D282D">
            <w:pPr>
              <w:pStyle w:val="NoSpacing"/>
            </w:pPr>
            <w:r w:rsidRPr="00E304A8">
              <w:t>Name of the Firm (Block Letter</w:t>
            </w:r>
            <w:proofErr w:type="gramStart"/>
            <w:r w:rsidRPr="00E304A8">
              <w:t>):_</w:t>
            </w:r>
            <w:proofErr w:type="gramEnd"/>
            <w:r w:rsidRPr="00E304A8">
              <w:t>__________________________________________</w:t>
            </w:r>
            <w:r w:rsidR="00450E76">
              <w:t>_</w:t>
            </w:r>
          </w:p>
          <w:p w:rsidR="006C0CA7" w:rsidRPr="00E304A8" w:rsidRDefault="006C0CA7" w:rsidP="008D282D">
            <w:pPr>
              <w:pStyle w:val="NoSpacing"/>
            </w:pPr>
            <w:r w:rsidRPr="00E304A8">
              <w:t>Name of the CEO (Block Letters</w:t>
            </w:r>
            <w:proofErr w:type="gramStart"/>
            <w:r w:rsidRPr="00E304A8">
              <w:t>):_</w:t>
            </w:r>
            <w:proofErr w:type="gramEnd"/>
            <w:r w:rsidRPr="00E304A8">
              <w:t>__________________________________________</w:t>
            </w:r>
            <w:r w:rsidR="0033400A">
              <w:t xml:space="preserve"> </w:t>
            </w:r>
            <w:r w:rsidR="0033400A" w:rsidRPr="00E304A8">
              <w:t xml:space="preserve"> </w:t>
            </w:r>
            <w:r w:rsidRPr="00E304A8">
              <w:t xml:space="preserve">CNIC # </w:t>
            </w:r>
          </w:p>
          <w:tbl>
            <w:tblPr>
              <w:tblStyle w:val="TableGrid"/>
              <w:tblpPr w:leftFromText="180" w:rightFromText="180" w:vertAnchor="text" w:horzAnchor="margin" w:tblpXSpec="center" w:tblpY="-211"/>
              <w:tblOverlap w:val="never"/>
              <w:tblW w:w="0" w:type="auto"/>
              <w:tblLook w:val="04A0" w:firstRow="1" w:lastRow="0" w:firstColumn="1" w:lastColumn="0" w:noHBand="0" w:noVBand="1"/>
            </w:tblPr>
            <w:tblGrid>
              <w:gridCol w:w="422"/>
              <w:gridCol w:w="422"/>
              <w:gridCol w:w="422"/>
              <w:gridCol w:w="422"/>
              <w:gridCol w:w="422"/>
              <w:gridCol w:w="422"/>
              <w:gridCol w:w="422"/>
              <w:gridCol w:w="422"/>
              <w:gridCol w:w="422"/>
              <w:gridCol w:w="422"/>
              <w:gridCol w:w="422"/>
              <w:gridCol w:w="422"/>
              <w:gridCol w:w="422"/>
              <w:gridCol w:w="422"/>
              <w:gridCol w:w="422"/>
            </w:tblGrid>
            <w:tr w:rsidR="006C0CA7" w:rsidRPr="00E304A8" w:rsidTr="00E67811">
              <w:trPr>
                <w:trHeight w:val="332"/>
              </w:trPr>
              <w:tc>
                <w:tcPr>
                  <w:tcW w:w="422" w:type="dxa"/>
                </w:tcPr>
                <w:p w:rsidR="006C0CA7" w:rsidRPr="00E304A8" w:rsidRDefault="006C0CA7" w:rsidP="008D282D">
                  <w:pPr>
                    <w:pStyle w:val="NoSpacing"/>
                  </w:pPr>
                </w:p>
              </w:tc>
              <w:tc>
                <w:tcPr>
                  <w:tcW w:w="422" w:type="dxa"/>
                </w:tcPr>
                <w:p w:rsidR="006C0CA7" w:rsidRPr="00E304A8" w:rsidRDefault="006C0CA7" w:rsidP="008D282D">
                  <w:pPr>
                    <w:pStyle w:val="NoSpacing"/>
                  </w:pPr>
                </w:p>
              </w:tc>
              <w:tc>
                <w:tcPr>
                  <w:tcW w:w="422" w:type="dxa"/>
                </w:tcPr>
                <w:p w:rsidR="006C0CA7" w:rsidRPr="00E304A8" w:rsidRDefault="006C0CA7" w:rsidP="008D282D">
                  <w:pPr>
                    <w:pStyle w:val="NoSpacing"/>
                  </w:pPr>
                </w:p>
              </w:tc>
              <w:tc>
                <w:tcPr>
                  <w:tcW w:w="422" w:type="dxa"/>
                </w:tcPr>
                <w:p w:rsidR="006C0CA7" w:rsidRPr="00E304A8" w:rsidRDefault="006C0CA7" w:rsidP="008D282D">
                  <w:pPr>
                    <w:pStyle w:val="NoSpacing"/>
                  </w:pPr>
                </w:p>
              </w:tc>
              <w:tc>
                <w:tcPr>
                  <w:tcW w:w="422" w:type="dxa"/>
                </w:tcPr>
                <w:p w:rsidR="006C0CA7" w:rsidRPr="00E304A8" w:rsidRDefault="006C0CA7" w:rsidP="008D282D">
                  <w:pPr>
                    <w:pStyle w:val="NoSpacing"/>
                  </w:pPr>
                </w:p>
              </w:tc>
              <w:tc>
                <w:tcPr>
                  <w:tcW w:w="422" w:type="dxa"/>
                  <w:shd w:val="clear" w:color="auto" w:fill="D9D9D9" w:themeFill="background1" w:themeFillShade="D9"/>
                </w:tcPr>
                <w:p w:rsidR="006C0CA7" w:rsidRPr="00E304A8" w:rsidRDefault="006C0CA7" w:rsidP="008D282D">
                  <w:pPr>
                    <w:pStyle w:val="NoSpacing"/>
                  </w:pPr>
                  <w:r w:rsidRPr="00E304A8">
                    <w:t>-</w:t>
                  </w:r>
                </w:p>
              </w:tc>
              <w:tc>
                <w:tcPr>
                  <w:tcW w:w="422" w:type="dxa"/>
                </w:tcPr>
                <w:p w:rsidR="006C0CA7" w:rsidRPr="00E304A8" w:rsidRDefault="006C0CA7" w:rsidP="008D282D">
                  <w:pPr>
                    <w:pStyle w:val="NoSpacing"/>
                  </w:pPr>
                </w:p>
              </w:tc>
              <w:tc>
                <w:tcPr>
                  <w:tcW w:w="422" w:type="dxa"/>
                </w:tcPr>
                <w:p w:rsidR="006C0CA7" w:rsidRPr="00E304A8" w:rsidRDefault="006C0CA7" w:rsidP="008D282D">
                  <w:pPr>
                    <w:pStyle w:val="NoSpacing"/>
                  </w:pPr>
                </w:p>
              </w:tc>
              <w:tc>
                <w:tcPr>
                  <w:tcW w:w="422" w:type="dxa"/>
                </w:tcPr>
                <w:p w:rsidR="006C0CA7" w:rsidRPr="00E304A8" w:rsidRDefault="006C0CA7" w:rsidP="008D282D">
                  <w:pPr>
                    <w:pStyle w:val="NoSpacing"/>
                  </w:pPr>
                </w:p>
              </w:tc>
              <w:tc>
                <w:tcPr>
                  <w:tcW w:w="422" w:type="dxa"/>
                </w:tcPr>
                <w:p w:rsidR="006C0CA7" w:rsidRPr="00E304A8" w:rsidRDefault="006C0CA7" w:rsidP="008D282D">
                  <w:pPr>
                    <w:pStyle w:val="NoSpacing"/>
                  </w:pPr>
                </w:p>
              </w:tc>
              <w:tc>
                <w:tcPr>
                  <w:tcW w:w="422" w:type="dxa"/>
                </w:tcPr>
                <w:p w:rsidR="006C0CA7" w:rsidRPr="00E304A8" w:rsidRDefault="006C0CA7" w:rsidP="008D282D">
                  <w:pPr>
                    <w:pStyle w:val="NoSpacing"/>
                  </w:pPr>
                </w:p>
              </w:tc>
              <w:tc>
                <w:tcPr>
                  <w:tcW w:w="422" w:type="dxa"/>
                </w:tcPr>
                <w:p w:rsidR="006C0CA7" w:rsidRPr="00E304A8" w:rsidRDefault="006C0CA7" w:rsidP="008D282D">
                  <w:pPr>
                    <w:pStyle w:val="NoSpacing"/>
                  </w:pPr>
                </w:p>
              </w:tc>
              <w:tc>
                <w:tcPr>
                  <w:tcW w:w="422" w:type="dxa"/>
                </w:tcPr>
                <w:p w:rsidR="006C0CA7" w:rsidRPr="00E304A8" w:rsidRDefault="006C0CA7" w:rsidP="008D282D">
                  <w:pPr>
                    <w:pStyle w:val="NoSpacing"/>
                  </w:pPr>
                </w:p>
              </w:tc>
              <w:tc>
                <w:tcPr>
                  <w:tcW w:w="422" w:type="dxa"/>
                  <w:shd w:val="clear" w:color="auto" w:fill="D9D9D9" w:themeFill="background1" w:themeFillShade="D9"/>
                </w:tcPr>
                <w:p w:rsidR="006C0CA7" w:rsidRPr="00E304A8" w:rsidRDefault="006C0CA7" w:rsidP="008D282D">
                  <w:pPr>
                    <w:pStyle w:val="NoSpacing"/>
                  </w:pPr>
                  <w:r w:rsidRPr="00E304A8">
                    <w:t>-</w:t>
                  </w:r>
                </w:p>
              </w:tc>
              <w:tc>
                <w:tcPr>
                  <w:tcW w:w="422" w:type="dxa"/>
                </w:tcPr>
                <w:p w:rsidR="006C0CA7" w:rsidRPr="00E304A8" w:rsidRDefault="006C0CA7" w:rsidP="008D282D">
                  <w:pPr>
                    <w:pStyle w:val="NoSpacing"/>
                  </w:pPr>
                </w:p>
              </w:tc>
            </w:tr>
          </w:tbl>
          <w:p w:rsidR="006C0CA7" w:rsidRPr="00E304A8" w:rsidRDefault="006C0CA7" w:rsidP="008D282D">
            <w:pPr>
              <w:pStyle w:val="NoSpacing"/>
            </w:pPr>
          </w:p>
          <w:p w:rsidR="006C0CA7" w:rsidRDefault="006C0CA7" w:rsidP="008D282D">
            <w:pPr>
              <w:pStyle w:val="NoSpacing"/>
            </w:pPr>
            <w:r w:rsidRPr="00E304A8">
              <w:t xml:space="preserve">Postal </w:t>
            </w:r>
            <w:proofErr w:type="gramStart"/>
            <w:r w:rsidR="006D16E6" w:rsidRPr="00E304A8">
              <w:t>Address:</w:t>
            </w:r>
            <w:r w:rsidR="006D16E6">
              <w:t>_</w:t>
            </w:r>
            <w:proofErr w:type="gramEnd"/>
            <w:r w:rsidR="006D16E6">
              <w:t>____________________________________________________________</w:t>
            </w:r>
          </w:p>
          <w:p w:rsidR="006D16E6" w:rsidRPr="00E304A8" w:rsidRDefault="006D16E6" w:rsidP="008D282D">
            <w:pPr>
              <w:pStyle w:val="NoSpacing"/>
            </w:pPr>
            <w:r w:rsidRPr="00E304A8">
              <w:t>Contact Information:</w:t>
            </w:r>
          </w:p>
          <w:p w:rsidR="006C0CA7" w:rsidRPr="00E304A8" w:rsidRDefault="006C0CA7" w:rsidP="008D282D">
            <w:pPr>
              <w:pStyle w:val="NoSpacing"/>
            </w:pPr>
            <w:r w:rsidRPr="00E304A8">
              <w:t>Office No.____________</w:t>
            </w:r>
            <w:r w:rsidR="00F67F9A">
              <w:t>_</w:t>
            </w:r>
            <w:r w:rsidRPr="00E304A8">
              <w:t xml:space="preserve"> Cell No: __________________</w:t>
            </w:r>
            <w:r w:rsidR="006D16E6" w:rsidRPr="00E304A8">
              <w:t>Email: _</w:t>
            </w:r>
            <w:r w:rsidRPr="00E304A8">
              <w:t>___________________</w:t>
            </w:r>
          </w:p>
          <w:p w:rsidR="006C0CA7" w:rsidRPr="00E304A8" w:rsidRDefault="006C0CA7" w:rsidP="008D282D">
            <w:pPr>
              <w:pStyle w:val="NoSpacing"/>
            </w:pPr>
            <w:r w:rsidRPr="00E304A8">
              <w:t>Registration with the sale Tax (Copy to the attached):</w:t>
            </w:r>
          </w:p>
          <w:p w:rsidR="006C0CA7" w:rsidRPr="00E304A8" w:rsidRDefault="006C0CA7" w:rsidP="008D282D">
            <w:pPr>
              <w:pStyle w:val="NoSpacing"/>
            </w:pPr>
            <w:r w:rsidRPr="00E304A8">
              <w:t>National Tax Non (NTN): ____________________________________________________</w:t>
            </w:r>
          </w:p>
          <w:p w:rsidR="006C0CA7" w:rsidRPr="00E304A8" w:rsidRDefault="006C0CA7" w:rsidP="008D282D">
            <w:pPr>
              <w:pStyle w:val="NoSpacing"/>
            </w:pPr>
            <w:r w:rsidRPr="00E304A8">
              <w:t xml:space="preserve">Aggregate of the Total quoted </w:t>
            </w:r>
            <w:r w:rsidR="006D16E6" w:rsidRPr="00E304A8">
              <w:t>Price: _</w:t>
            </w:r>
            <w:r w:rsidRPr="00E304A8">
              <w:t>___________________________________________</w:t>
            </w:r>
          </w:p>
          <w:p w:rsidR="006C0CA7" w:rsidRPr="00E304A8" w:rsidRDefault="006C0CA7" w:rsidP="008D282D">
            <w:pPr>
              <w:pStyle w:val="NoSpacing"/>
            </w:pPr>
            <w:r w:rsidRPr="00E304A8">
              <w:t xml:space="preserve">Validity of the Quoted </w:t>
            </w:r>
            <w:r w:rsidR="006D16E6" w:rsidRPr="00E304A8">
              <w:t>Price: _</w:t>
            </w:r>
            <w:r w:rsidRPr="00E304A8">
              <w:t>__________________________________________________</w:t>
            </w:r>
          </w:p>
          <w:p w:rsidR="006C0CA7" w:rsidRPr="00E304A8" w:rsidRDefault="006C0CA7" w:rsidP="00E67811">
            <w:pPr>
              <w:spacing w:line="306" w:lineRule="exact"/>
            </w:pPr>
          </w:p>
        </w:tc>
      </w:tr>
    </w:tbl>
    <w:p w:rsidR="00262527" w:rsidRDefault="00262527" w:rsidP="003961B6">
      <w:pPr>
        <w:rPr>
          <w:b/>
          <w:bCs/>
          <w:u w:val="single"/>
        </w:rPr>
      </w:pPr>
    </w:p>
    <w:p w:rsidR="006C0CA7" w:rsidRPr="00E304A8" w:rsidRDefault="006C0CA7" w:rsidP="003961B6">
      <w:pPr>
        <w:rPr>
          <w:sz w:val="20"/>
          <w:szCs w:val="20"/>
        </w:rPr>
      </w:pPr>
      <w:r w:rsidRPr="00E304A8">
        <w:rPr>
          <w:b/>
          <w:bCs/>
          <w:u w:val="single"/>
        </w:rPr>
        <w:t>TERMS &amp; CONDITIONS</w:t>
      </w:r>
    </w:p>
    <w:p w:rsidR="006C0CA7" w:rsidRPr="00E304A8" w:rsidRDefault="006C0CA7" w:rsidP="006C0CA7">
      <w:pPr>
        <w:spacing w:line="129" w:lineRule="exact"/>
      </w:pPr>
    </w:p>
    <w:p w:rsidR="006C0CA7" w:rsidRPr="00262527" w:rsidRDefault="006C0CA7" w:rsidP="006C0CA7">
      <w:pPr>
        <w:ind w:left="140"/>
        <w:rPr>
          <w:sz w:val="20"/>
          <w:szCs w:val="20"/>
        </w:rPr>
      </w:pPr>
      <w:r w:rsidRPr="00262527">
        <w:rPr>
          <w:rFonts w:eastAsia="Calibri"/>
          <w:b/>
          <w:bCs/>
          <w:sz w:val="20"/>
          <w:szCs w:val="20"/>
        </w:rPr>
        <w:t>GENERAL TERMS &amp; CONDITIONS FOR TENDER APPLICATION FORM</w:t>
      </w:r>
    </w:p>
    <w:p w:rsidR="006C0CA7" w:rsidRPr="00262527" w:rsidRDefault="006C0CA7" w:rsidP="006C0CA7">
      <w:pPr>
        <w:spacing w:line="22" w:lineRule="exact"/>
        <w:rPr>
          <w:sz w:val="20"/>
          <w:szCs w:val="20"/>
        </w:rPr>
      </w:pPr>
    </w:p>
    <w:p w:rsidR="006C0CA7" w:rsidRPr="00262527" w:rsidRDefault="006C0CA7" w:rsidP="006C0CA7">
      <w:pPr>
        <w:spacing w:line="235" w:lineRule="auto"/>
        <w:ind w:left="140" w:right="300"/>
        <w:rPr>
          <w:sz w:val="20"/>
          <w:szCs w:val="20"/>
        </w:rPr>
      </w:pPr>
      <w:r w:rsidRPr="00262527">
        <w:rPr>
          <w:rFonts w:eastAsia="Calibri"/>
          <w:b/>
          <w:bCs/>
          <w:sz w:val="20"/>
          <w:szCs w:val="20"/>
        </w:rPr>
        <w:t>Introduction</w:t>
      </w:r>
      <w:r w:rsidRPr="00262527">
        <w:rPr>
          <w:rFonts w:eastAsia="Calibri"/>
          <w:sz w:val="20"/>
          <w:szCs w:val="20"/>
        </w:rPr>
        <w:t xml:space="preserve"> These General Terms &amp; Conditions govern the application, submission, evaluation, and awarding process of tenders. All applicants must comply with the terms set forth herein.</w:t>
      </w:r>
    </w:p>
    <w:p w:rsidR="006C0CA7" w:rsidRPr="00262527" w:rsidRDefault="006C0CA7" w:rsidP="006C0CA7">
      <w:pPr>
        <w:spacing w:line="1" w:lineRule="exact"/>
        <w:rPr>
          <w:sz w:val="20"/>
          <w:szCs w:val="20"/>
        </w:rPr>
      </w:pPr>
    </w:p>
    <w:p w:rsidR="006C0CA7" w:rsidRPr="00262527" w:rsidRDefault="006C0CA7" w:rsidP="006C0CA7">
      <w:pPr>
        <w:ind w:left="140"/>
        <w:rPr>
          <w:sz w:val="20"/>
          <w:szCs w:val="20"/>
        </w:rPr>
      </w:pPr>
      <w:r w:rsidRPr="00262527">
        <w:rPr>
          <w:rFonts w:eastAsia="Calibri"/>
          <w:b/>
          <w:bCs/>
          <w:sz w:val="20"/>
          <w:szCs w:val="20"/>
        </w:rPr>
        <w:t>Eligibility Criteria</w:t>
      </w:r>
    </w:p>
    <w:p w:rsidR="006C0CA7" w:rsidRPr="00262527" w:rsidRDefault="006C0CA7" w:rsidP="006C0CA7">
      <w:pPr>
        <w:numPr>
          <w:ilvl w:val="0"/>
          <w:numId w:val="2"/>
        </w:numPr>
        <w:tabs>
          <w:tab w:val="left" w:pos="860"/>
        </w:tabs>
        <w:ind w:left="860" w:hanging="233"/>
        <w:rPr>
          <w:sz w:val="20"/>
          <w:szCs w:val="20"/>
        </w:rPr>
      </w:pPr>
      <w:r w:rsidRPr="00262527">
        <w:rPr>
          <w:rFonts w:eastAsia="Calibri"/>
          <w:sz w:val="20"/>
          <w:szCs w:val="20"/>
        </w:rPr>
        <w:t>Applicants must be legally registered entities or individuals authorized to conduct business.</w:t>
      </w:r>
    </w:p>
    <w:p w:rsidR="006C0CA7" w:rsidRPr="00262527" w:rsidRDefault="006C0CA7" w:rsidP="006C0CA7">
      <w:pPr>
        <w:numPr>
          <w:ilvl w:val="0"/>
          <w:numId w:val="2"/>
        </w:numPr>
        <w:tabs>
          <w:tab w:val="left" w:pos="860"/>
        </w:tabs>
        <w:ind w:left="860" w:hanging="233"/>
        <w:rPr>
          <w:sz w:val="20"/>
          <w:szCs w:val="20"/>
        </w:rPr>
      </w:pPr>
      <w:r w:rsidRPr="00262527">
        <w:rPr>
          <w:rFonts w:eastAsia="Calibri"/>
          <w:sz w:val="20"/>
          <w:szCs w:val="20"/>
        </w:rPr>
        <w:t>All applicants must provide valid business registration documents, tax clearance certificates, and any other required legal documentation.</w:t>
      </w:r>
    </w:p>
    <w:p w:rsidR="006C0CA7" w:rsidRPr="00262527" w:rsidRDefault="006C0CA7" w:rsidP="006C0CA7">
      <w:pPr>
        <w:numPr>
          <w:ilvl w:val="0"/>
          <w:numId w:val="2"/>
        </w:numPr>
        <w:tabs>
          <w:tab w:val="left" w:pos="860"/>
        </w:tabs>
        <w:ind w:left="860" w:hanging="233"/>
        <w:rPr>
          <w:sz w:val="20"/>
          <w:szCs w:val="20"/>
        </w:rPr>
      </w:pPr>
      <w:r w:rsidRPr="00262527">
        <w:rPr>
          <w:rFonts w:eastAsia="Calibri"/>
          <w:sz w:val="20"/>
          <w:szCs w:val="20"/>
        </w:rPr>
        <w:t>Any applicant found guilty of fraudulent activities, conflicts of interest, or corruption will be disqualified.</w:t>
      </w:r>
    </w:p>
    <w:p w:rsidR="006C0CA7" w:rsidRPr="00262527" w:rsidRDefault="006C0CA7" w:rsidP="006C0CA7">
      <w:pPr>
        <w:ind w:left="140"/>
        <w:rPr>
          <w:sz w:val="20"/>
          <w:szCs w:val="20"/>
        </w:rPr>
      </w:pPr>
      <w:r w:rsidRPr="00262527">
        <w:rPr>
          <w:rFonts w:eastAsia="Calibri"/>
          <w:b/>
          <w:bCs/>
          <w:sz w:val="20"/>
          <w:szCs w:val="20"/>
        </w:rPr>
        <w:t>Application Submission</w:t>
      </w:r>
    </w:p>
    <w:p w:rsidR="006C0CA7" w:rsidRPr="00262527" w:rsidRDefault="006C0CA7" w:rsidP="006C0CA7">
      <w:pPr>
        <w:numPr>
          <w:ilvl w:val="0"/>
          <w:numId w:val="3"/>
        </w:numPr>
        <w:tabs>
          <w:tab w:val="left" w:pos="860"/>
        </w:tabs>
        <w:ind w:left="860" w:hanging="233"/>
        <w:rPr>
          <w:sz w:val="20"/>
          <w:szCs w:val="20"/>
        </w:rPr>
      </w:pPr>
      <w:r w:rsidRPr="00262527">
        <w:rPr>
          <w:rFonts w:eastAsia="Calibri"/>
          <w:sz w:val="20"/>
          <w:szCs w:val="20"/>
        </w:rPr>
        <w:t>All tenders must be submitted in the prescribed format before the stated deadline.</w:t>
      </w:r>
    </w:p>
    <w:p w:rsidR="006C0CA7" w:rsidRPr="00262527" w:rsidRDefault="006C0CA7" w:rsidP="006C0CA7">
      <w:pPr>
        <w:numPr>
          <w:ilvl w:val="0"/>
          <w:numId w:val="3"/>
        </w:numPr>
        <w:tabs>
          <w:tab w:val="left" w:pos="860"/>
        </w:tabs>
        <w:ind w:left="860" w:hanging="233"/>
        <w:rPr>
          <w:sz w:val="20"/>
          <w:szCs w:val="20"/>
        </w:rPr>
      </w:pPr>
      <w:r w:rsidRPr="00262527">
        <w:rPr>
          <w:rFonts w:eastAsia="Calibri"/>
          <w:sz w:val="20"/>
          <w:szCs w:val="20"/>
        </w:rPr>
        <w:t>Incomplete or late submissions will not be considered.</w:t>
      </w:r>
    </w:p>
    <w:p w:rsidR="006C0CA7" w:rsidRPr="00262527" w:rsidRDefault="006C0CA7" w:rsidP="006C0CA7">
      <w:pPr>
        <w:numPr>
          <w:ilvl w:val="0"/>
          <w:numId w:val="3"/>
        </w:numPr>
        <w:tabs>
          <w:tab w:val="left" w:pos="860"/>
        </w:tabs>
        <w:ind w:left="860" w:hanging="233"/>
        <w:rPr>
          <w:sz w:val="20"/>
          <w:szCs w:val="20"/>
        </w:rPr>
      </w:pPr>
      <w:r w:rsidRPr="00262527">
        <w:rPr>
          <w:rFonts w:eastAsia="Calibri"/>
          <w:sz w:val="20"/>
          <w:szCs w:val="20"/>
        </w:rPr>
        <w:t>Tenders must be submitted with the required supporting documents, including but not limited to financial statements, company profiles, and past project references.</w:t>
      </w:r>
    </w:p>
    <w:p w:rsidR="006C0CA7" w:rsidRPr="00262527" w:rsidRDefault="006C0CA7" w:rsidP="006C0CA7">
      <w:pPr>
        <w:ind w:left="140"/>
        <w:rPr>
          <w:sz w:val="20"/>
          <w:szCs w:val="20"/>
        </w:rPr>
      </w:pPr>
      <w:r w:rsidRPr="00262527">
        <w:rPr>
          <w:rFonts w:eastAsia="Calibri"/>
          <w:b/>
          <w:bCs/>
          <w:sz w:val="20"/>
          <w:szCs w:val="20"/>
        </w:rPr>
        <w:t>Tender Evaluation Process</w:t>
      </w:r>
    </w:p>
    <w:p w:rsidR="006C0CA7" w:rsidRPr="00262527" w:rsidRDefault="006C0CA7" w:rsidP="006C0CA7">
      <w:pPr>
        <w:spacing w:line="6" w:lineRule="exact"/>
        <w:rPr>
          <w:sz w:val="20"/>
          <w:szCs w:val="20"/>
        </w:rPr>
      </w:pPr>
    </w:p>
    <w:p w:rsidR="006C0CA7" w:rsidRPr="00262527" w:rsidRDefault="006C0CA7" w:rsidP="006C0CA7">
      <w:pPr>
        <w:numPr>
          <w:ilvl w:val="0"/>
          <w:numId w:val="4"/>
        </w:numPr>
        <w:tabs>
          <w:tab w:val="left" w:pos="860"/>
        </w:tabs>
        <w:spacing w:line="235" w:lineRule="auto"/>
        <w:ind w:left="860" w:right="120" w:hanging="233"/>
        <w:rPr>
          <w:sz w:val="20"/>
          <w:szCs w:val="20"/>
        </w:rPr>
      </w:pPr>
      <w:r w:rsidRPr="00262527">
        <w:rPr>
          <w:rFonts w:eastAsia="Calibri"/>
          <w:sz w:val="20"/>
          <w:szCs w:val="20"/>
        </w:rPr>
        <w:t>The evaluation committee reserves the right to assess all applications based on pre-determined criteria, including technical capability, financial stability, and past performance.</w:t>
      </w:r>
    </w:p>
    <w:p w:rsidR="006C0CA7" w:rsidRPr="00262527" w:rsidRDefault="006C0CA7" w:rsidP="006C0CA7">
      <w:pPr>
        <w:spacing w:line="1" w:lineRule="exact"/>
        <w:rPr>
          <w:sz w:val="20"/>
          <w:szCs w:val="20"/>
        </w:rPr>
      </w:pPr>
    </w:p>
    <w:p w:rsidR="006C0CA7" w:rsidRPr="00262527" w:rsidRDefault="006C0CA7" w:rsidP="006C0CA7">
      <w:pPr>
        <w:numPr>
          <w:ilvl w:val="0"/>
          <w:numId w:val="4"/>
        </w:numPr>
        <w:tabs>
          <w:tab w:val="left" w:pos="860"/>
        </w:tabs>
        <w:ind w:left="860" w:hanging="233"/>
        <w:rPr>
          <w:sz w:val="20"/>
          <w:szCs w:val="20"/>
        </w:rPr>
      </w:pPr>
      <w:r w:rsidRPr="00262527">
        <w:rPr>
          <w:rFonts w:eastAsia="Calibri"/>
          <w:sz w:val="20"/>
          <w:szCs w:val="20"/>
        </w:rPr>
        <w:t>Shortlisted applicants may be required to provide additional information or attend an interview/presentation.</w:t>
      </w:r>
    </w:p>
    <w:p w:rsidR="006C0CA7" w:rsidRPr="00262527" w:rsidRDefault="006C0CA7" w:rsidP="006C0CA7">
      <w:pPr>
        <w:numPr>
          <w:ilvl w:val="0"/>
          <w:numId w:val="4"/>
        </w:numPr>
        <w:tabs>
          <w:tab w:val="left" w:pos="860"/>
        </w:tabs>
        <w:ind w:left="860" w:hanging="233"/>
        <w:rPr>
          <w:sz w:val="20"/>
          <w:szCs w:val="20"/>
        </w:rPr>
      </w:pPr>
      <w:r w:rsidRPr="00262527">
        <w:rPr>
          <w:rFonts w:eastAsia="Calibri"/>
          <w:sz w:val="20"/>
          <w:szCs w:val="20"/>
        </w:rPr>
        <w:t>The decision of the evaluation committee is final and binding.</w:t>
      </w:r>
    </w:p>
    <w:p w:rsidR="006C0CA7" w:rsidRPr="00262527" w:rsidRDefault="006C0CA7" w:rsidP="006C0CA7">
      <w:pPr>
        <w:ind w:left="140"/>
        <w:rPr>
          <w:sz w:val="20"/>
          <w:szCs w:val="20"/>
        </w:rPr>
      </w:pPr>
      <w:r w:rsidRPr="00262527">
        <w:rPr>
          <w:rFonts w:eastAsia="Calibri"/>
          <w:b/>
          <w:bCs/>
          <w:sz w:val="20"/>
          <w:szCs w:val="20"/>
        </w:rPr>
        <w:t>Confidentiality</w:t>
      </w:r>
    </w:p>
    <w:p w:rsidR="006C0CA7" w:rsidRPr="00262527" w:rsidRDefault="006C0CA7" w:rsidP="006C0CA7">
      <w:pPr>
        <w:numPr>
          <w:ilvl w:val="0"/>
          <w:numId w:val="5"/>
        </w:numPr>
        <w:tabs>
          <w:tab w:val="left" w:pos="860"/>
        </w:tabs>
        <w:ind w:left="860" w:hanging="233"/>
        <w:rPr>
          <w:sz w:val="20"/>
          <w:szCs w:val="20"/>
        </w:rPr>
      </w:pPr>
      <w:r w:rsidRPr="00262527">
        <w:rPr>
          <w:rFonts w:eastAsia="Calibri"/>
          <w:sz w:val="20"/>
          <w:szCs w:val="20"/>
        </w:rPr>
        <w:t>All submitted tender documents will be treated with confidentiality.</w:t>
      </w:r>
    </w:p>
    <w:p w:rsidR="006C0CA7" w:rsidRPr="00262527" w:rsidRDefault="006C0CA7" w:rsidP="006C0CA7">
      <w:pPr>
        <w:numPr>
          <w:ilvl w:val="0"/>
          <w:numId w:val="5"/>
        </w:numPr>
        <w:tabs>
          <w:tab w:val="left" w:pos="860"/>
        </w:tabs>
        <w:ind w:left="860" w:hanging="233"/>
        <w:rPr>
          <w:sz w:val="20"/>
          <w:szCs w:val="20"/>
        </w:rPr>
      </w:pPr>
      <w:r w:rsidRPr="00262527">
        <w:rPr>
          <w:rFonts w:eastAsia="Calibri"/>
          <w:sz w:val="20"/>
          <w:szCs w:val="20"/>
        </w:rPr>
        <w:t>Applicants must not disclose any information regarding the tendering process to third parties without prior written consent.</w:t>
      </w:r>
    </w:p>
    <w:p w:rsidR="006C0CA7" w:rsidRPr="00262527" w:rsidRDefault="006C0CA7" w:rsidP="006C0CA7">
      <w:pPr>
        <w:ind w:left="140"/>
        <w:rPr>
          <w:sz w:val="20"/>
          <w:szCs w:val="20"/>
        </w:rPr>
      </w:pPr>
      <w:r w:rsidRPr="00262527">
        <w:rPr>
          <w:rFonts w:eastAsia="Calibri"/>
          <w:b/>
          <w:bCs/>
          <w:sz w:val="20"/>
          <w:szCs w:val="20"/>
        </w:rPr>
        <w:t>Amendments &amp; Clarifications</w:t>
      </w:r>
    </w:p>
    <w:p w:rsidR="006C0CA7" w:rsidRPr="00262527" w:rsidRDefault="006C0CA7" w:rsidP="006C0CA7">
      <w:pPr>
        <w:spacing w:line="6" w:lineRule="exact"/>
        <w:rPr>
          <w:sz w:val="20"/>
          <w:szCs w:val="20"/>
        </w:rPr>
      </w:pPr>
    </w:p>
    <w:p w:rsidR="006C0CA7" w:rsidRPr="00262527" w:rsidRDefault="006C0CA7" w:rsidP="006C0CA7">
      <w:pPr>
        <w:numPr>
          <w:ilvl w:val="0"/>
          <w:numId w:val="5"/>
        </w:numPr>
        <w:tabs>
          <w:tab w:val="left" w:pos="860"/>
        </w:tabs>
        <w:spacing w:line="231" w:lineRule="auto"/>
        <w:ind w:left="860" w:hanging="233"/>
        <w:rPr>
          <w:sz w:val="20"/>
          <w:szCs w:val="20"/>
        </w:rPr>
      </w:pPr>
      <w:r w:rsidRPr="00262527">
        <w:rPr>
          <w:rFonts w:eastAsia="Calibri"/>
          <w:sz w:val="20"/>
          <w:szCs w:val="20"/>
        </w:rPr>
        <w:t>The issuing entity reserves the right to amend or cancel the tender at any time before awarding.</w:t>
      </w:r>
    </w:p>
    <w:p w:rsidR="00755D0F" w:rsidRPr="009F3476" w:rsidRDefault="006C0CA7" w:rsidP="009F3476">
      <w:pPr>
        <w:numPr>
          <w:ilvl w:val="0"/>
          <w:numId w:val="5"/>
        </w:numPr>
        <w:tabs>
          <w:tab w:val="left" w:pos="860"/>
        </w:tabs>
        <w:ind w:left="860" w:hanging="233"/>
        <w:rPr>
          <w:sz w:val="20"/>
          <w:szCs w:val="20"/>
        </w:rPr>
      </w:pPr>
      <w:r w:rsidRPr="00262527">
        <w:rPr>
          <w:rFonts w:eastAsia="Calibri"/>
          <w:sz w:val="20"/>
          <w:szCs w:val="20"/>
        </w:rPr>
        <w:t>Any clarifications or amendments will be communicated to all applicants.</w:t>
      </w:r>
      <w:bookmarkStart w:id="0" w:name="_GoBack"/>
      <w:bookmarkEnd w:id="0"/>
    </w:p>
    <w:p w:rsidR="006C0CA7" w:rsidRPr="00262527" w:rsidRDefault="006C0CA7" w:rsidP="006C0CA7">
      <w:pPr>
        <w:ind w:left="140"/>
        <w:rPr>
          <w:sz w:val="20"/>
          <w:szCs w:val="20"/>
        </w:rPr>
      </w:pPr>
      <w:r w:rsidRPr="00262527">
        <w:rPr>
          <w:rFonts w:eastAsia="Calibri"/>
          <w:b/>
          <w:bCs/>
          <w:sz w:val="20"/>
          <w:szCs w:val="20"/>
        </w:rPr>
        <w:t>Tender Award</w:t>
      </w:r>
    </w:p>
    <w:p w:rsidR="006C0CA7" w:rsidRPr="00262527" w:rsidRDefault="006C0CA7" w:rsidP="006C0CA7">
      <w:pPr>
        <w:numPr>
          <w:ilvl w:val="0"/>
          <w:numId w:val="6"/>
        </w:numPr>
        <w:tabs>
          <w:tab w:val="left" w:pos="860"/>
        </w:tabs>
        <w:ind w:left="860" w:hanging="233"/>
        <w:rPr>
          <w:sz w:val="20"/>
          <w:szCs w:val="20"/>
        </w:rPr>
      </w:pPr>
      <w:r w:rsidRPr="00262527">
        <w:rPr>
          <w:rFonts w:eastAsia="Calibri"/>
          <w:sz w:val="20"/>
          <w:szCs w:val="20"/>
        </w:rPr>
        <w:t>The awarding entity is not bound to accept the lowest bid or any application received.</w:t>
      </w:r>
    </w:p>
    <w:p w:rsidR="006C0CA7" w:rsidRPr="00262527" w:rsidRDefault="006C0CA7" w:rsidP="006C0CA7">
      <w:pPr>
        <w:numPr>
          <w:ilvl w:val="0"/>
          <w:numId w:val="6"/>
        </w:numPr>
        <w:tabs>
          <w:tab w:val="left" w:pos="860"/>
        </w:tabs>
        <w:ind w:left="860" w:hanging="233"/>
        <w:rPr>
          <w:sz w:val="20"/>
          <w:szCs w:val="20"/>
        </w:rPr>
      </w:pPr>
      <w:r w:rsidRPr="00262527">
        <w:rPr>
          <w:rFonts w:eastAsia="Calibri"/>
          <w:sz w:val="20"/>
          <w:szCs w:val="20"/>
        </w:rPr>
        <w:t>The successful applicant will be notified in writing and required to sign a formal contract.</w:t>
      </w:r>
    </w:p>
    <w:p w:rsidR="006C0CA7" w:rsidRPr="00262527" w:rsidRDefault="006C0CA7" w:rsidP="006C0CA7">
      <w:pPr>
        <w:numPr>
          <w:ilvl w:val="0"/>
          <w:numId w:val="6"/>
        </w:numPr>
        <w:tabs>
          <w:tab w:val="left" w:pos="860"/>
        </w:tabs>
        <w:ind w:left="860" w:hanging="233"/>
        <w:rPr>
          <w:sz w:val="20"/>
          <w:szCs w:val="20"/>
        </w:rPr>
      </w:pPr>
      <w:r w:rsidRPr="00262527">
        <w:rPr>
          <w:rFonts w:eastAsia="Calibri"/>
          <w:sz w:val="20"/>
          <w:szCs w:val="20"/>
        </w:rPr>
        <w:t>The contract terms, including scope, pricing, and timelines, must be strictly adhered to.</w:t>
      </w:r>
    </w:p>
    <w:p w:rsidR="006C0CA7" w:rsidRPr="00262527" w:rsidRDefault="006C0CA7" w:rsidP="006C0CA7">
      <w:pPr>
        <w:ind w:left="140"/>
        <w:rPr>
          <w:sz w:val="20"/>
          <w:szCs w:val="20"/>
        </w:rPr>
      </w:pPr>
      <w:r w:rsidRPr="00262527">
        <w:rPr>
          <w:rFonts w:eastAsia="Calibri"/>
          <w:b/>
          <w:bCs/>
          <w:sz w:val="20"/>
          <w:szCs w:val="20"/>
        </w:rPr>
        <w:t>Payment Terms</w:t>
      </w:r>
    </w:p>
    <w:p w:rsidR="006C0CA7" w:rsidRPr="00262527" w:rsidRDefault="006C0CA7" w:rsidP="006C0CA7">
      <w:pPr>
        <w:spacing w:line="6" w:lineRule="exact"/>
        <w:rPr>
          <w:sz w:val="20"/>
          <w:szCs w:val="20"/>
        </w:rPr>
      </w:pPr>
    </w:p>
    <w:p w:rsidR="006C0CA7" w:rsidRPr="00262527" w:rsidRDefault="006C0CA7" w:rsidP="006C0CA7">
      <w:pPr>
        <w:numPr>
          <w:ilvl w:val="0"/>
          <w:numId w:val="6"/>
        </w:numPr>
        <w:tabs>
          <w:tab w:val="left" w:pos="860"/>
        </w:tabs>
        <w:spacing w:line="231" w:lineRule="auto"/>
        <w:ind w:left="860" w:hanging="233"/>
        <w:rPr>
          <w:sz w:val="20"/>
          <w:szCs w:val="20"/>
        </w:rPr>
      </w:pPr>
      <w:r w:rsidRPr="00262527">
        <w:rPr>
          <w:rFonts w:eastAsia="Calibri"/>
          <w:sz w:val="20"/>
          <w:szCs w:val="20"/>
        </w:rPr>
        <w:t>Payment terms will be outlined in the contract and must be adhered to by both parties.</w:t>
      </w:r>
    </w:p>
    <w:p w:rsidR="006C0CA7" w:rsidRPr="00262527" w:rsidRDefault="006C0CA7" w:rsidP="006C0CA7">
      <w:pPr>
        <w:numPr>
          <w:ilvl w:val="0"/>
          <w:numId w:val="6"/>
        </w:numPr>
        <w:tabs>
          <w:tab w:val="left" w:pos="860"/>
        </w:tabs>
        <w:ind w:left="860" w:hanging="233"/>
        <w:rPr>
          <w:sz w:val="20"/>
          <w:szCs w:val="20"/>
        </w:rPr>
      </w:pPr>
      <w:r w:rsidRPr="00262527">
        <w:rPr>
          <w:rFonts w:eastAsia="Calibri"/>
          <w:sz w:val="20"/>
          <w:szCs w:val="20"/>
        </w:rPr>
        <w:t>Delays in service delivery or contractual breaches may result in penalties or payment delays.</w:t>
      </w:r>
    </w:p>
    <w:p w:rsidR="006C0CA7" w:rsidRPr="00262527" w:rsidRDefault="006C0CA7" w:rsidP="006C0CA7">
      <w:pPr>
        <w:ind w:left="140"/>
        <w:rPr>
          <w:sz w:val="20"/>
          <w:szCs w:val="20"/>
        </w:rPr>
      </w:pPr>
      <w:r w:rsidRPr="00262527">
        <w:rPr>
          <w:rFonts w:eastAsia="Calibri"/>
          <w:b/>
          <w:bCs/>
          <w:sz w:val="20"/>
          <w:szCs w:val="20"/>
        </w:rPr>
        <w:t>Dispute Resolution</w:t>
      </w:r>
    </w:p>
    <w:p w:rsidR="006C0CA7" w:rsidRPr="00262527" w:rsidRDefault="006C0CA7" w:rsidP="006C0CA7">
      <w:pPr>
        <w:spacing w:line="6" w:lineRule="exact"/>
        <w:rPr>
          <w:sz w:val="20"/>
          <w:szCs w:val="20"/>
        </w:rPr>
      </w:pPr>
    </w:p>
    <w:p w:rsidR="006C0CA7" w:rsidRPr="00262527" w:rsidRDefault="006C0CA7" w:rsidP="006C0CA7">
      <w:pPr>
        <w:numPr>
          <w:ilvl w:val="0"/>
          <w:numId w:val="6"/>
        </w:numPr>
        <w:tabs>
          <w:tab w:val="left" w:pos="860"/>
        </w:tabs>
        <w:spacing w:line="231" w:lineRule="auto"/>
        <w:ind w:left="860" w:hanging="233"/>
        <w:rPr>
          <w:sz w:val="20"/>
          <w:szCs w:val="20"/>
        </w:rPr>
      </w:pPr>
      <w:r w:rsidRPr="00262527">
        <w:rPr>
          <w:rFonts w:eastAsia="Calibri"/>
          <w:sz w:val="20"/>
          <w:szCs w:val="20"/>
        </w:rPr>
        <w:lastRenderedPageBreak/>
        <w:t>Any disputes arising from the tender process or contract execution shall be resolved amicably through negotiations.</w:t>
      </w:r>
    </w:p>
    <w:p w:rsidR="006C0CA7" w:rsidRPr="00262527" w:rsidRDefault="006C0CA7" w:rsidP="006C0CA7">
      <w:pPr>
        <w:numPr>
          <w:ilvl w:val="0"/>
          <w:numId w:val="6"/>
        </w:numPr>
        <w:tabs>
          <w:tab w:val="left" w:pos="860"/>
        </w:tabs>
        <w:ind w:left="860" w:hanging="233"/>
        <w:rPr>
          <w:sz w:val="20"/>
          <w:szCs w:val="20"/>
        </w:rPr>
      </w:pPr>
      <w:r w:rsidRPr="00262527">
        <w:rPr>
          <w:rFonts w:eastAsia="Calibri"/>
          <w:sz w:val="20"/>
          <w:szCs w:val="20"/>
        </w:rPr>
        <w:t>If an amicable resolution is not possible, disputes shall be referred to arbitration or a competent court of law as per applicable jurisdiction.</w:t>
      </w:r>
    </w:p>
    <w:p w:rsidR="006C0CA7" w:rsidRPr="00262527" w:rsidRDefault="006C0CA7" w:rsidP="006C0CA7">
      <w:pPr>
        <w:ind w:left="140"/>
        <w:rPr>
          <w:sz w:val="20"/>
          <w:szCs w:val="20"/>
        </w:rPr>
      </w:pPr>
      <w:r w:rsidRPr="00262527">
        <w:rPr>
          <w:rFonts w:eastAsia="Calibri"/>
          <w:b/>
          <w:bCs/>
          <w:sz w:val="20"/>
          <w:szCs w:val="20"/>
        </w:rPr>
        <w:t>Legal Compliance</w:t>
      </w:r>
    </w:p>
    <w:p w:rsidR="006C0CA7" w:rsidRPr="00262527" w:rsidRDefault="006C0CA7" w:rsidP="006C0CA7">
      <w:pPr>
        <w:spacing w:line="6" w:lineRule="exact"/>
        <w:rPr>
          <w:sz w:val="20"/>
          <w:szCs w:val="20"/>
        </w:rPr>
      </w:pPr>
    </w:p>
    <w:p w:rsidR="006C0CA7" w:rsidRPr="00262527" w:rsidRDefault="006C0CA7" w:rsidP="006C0CA7">
      <w:pPr>
        <w:numPr>
          <w:ilvl w:val="0"/>
          <w:numId w:val="6"/>
        </w:numPr>
        <w:tabs>
          <w:tab w:val="left" w:pos="860"/>
        </w:tabs>
        <w:spacing w:line="231" w:lineRule="auto"/>
        <w:ind w:left="860" w:hanging="233"/>
        <w:rPr>
          <w:sz w:val="20"/>
          <w:szCs w:val="20"/>
        </w:rPr>
      </w:pPr>
      <w:r w:rsidRPr="00262527">
        <w:rPr>
          <w:rFonts w:eastAsia="Calibri"/>
          <w:sz w:val="20"/>
          <w:szCs w:val="20"/>
        </w:rPr>
        <w:t>Applicants must comply with all applicable laws, regulations, and industry standards.</w:t>
      </w:r>
    </w:p>
    <w:p w:rsidR="006C0CA7" w:rsidRPr="00262527" w:rsidRDefault="006C0CA7" w:rsidP="006C0CA7">
      <w:pPr>
        <w:numPr>
          <w:ilvl w:val="0"/>
          <w:numId w:val="6"/>
        </w:numPr>
        <w:tabs>
          <w:tab w:val="left" w:pos="860"/>
        </w:tabs>
        <w:ind w:left="860" w:hanging="233"/>
        <w:rPr>
          <w:sz w:val="20"/>
          <w:szCs w:val="20"/>
        </w:rPr>
      </w:pPr>
      <w:r w:rsidRPr="00262527">
        <w:rPr>
          <w:rFonts w:eastAsia="Calibri"/>
          <w:sz w:val="20"/>
          <w:szCs w:val="20"/>
        </w:rPr>
        <w:t>Non-compliance may result in disqualification or contract termination.</w:t>
      </w:r>
    </w:p>
    <w:p w:rsidR="006C0CA7" w:rsidRPr="00262527" w:rsidRDefault="006C0CA7" w:rsidP="006C0CA7">
      <w:pPr>
        <w:ind w:left="140"/>
        <w:rPr>
          <w:sz w:val="20"/>
          <w:szCs w:val="20"/>
        </w:rPr>
      </w:pPr>
      <w:r w:rsidRPr="00262527">
        <w:rPr>
          <w:rFonts w:eastAsia="Calibri"/>
          <w:b/>
          <w:bCs/>
          <w:sz w:val="20"/>
          <w:szCs w:val="20"/>
        </w:rPr>
        <w:t>Indemnity</w:t>
      </w:r>
    </w:p>
    <w:p w:rsidR="006C0CA7" w:rsidRPr="00262527" w:rsidRDefault="006C0CA7" w:rsidP="006C0CA7">
      <w:pPr>
        <w:spacing w:line="6" w:lineRule="exact"/>
        <w:rPr>
          <w:sz w:val="20"/>
          <w:szCs w:val="20"/>
        </w:rPr>
      </w:pPr>
    </w:p>
    <w:p w:rsidR="006C0CA7" w:rsidRPr="00262527" w:rsidRDefault="006C0CA7" w:rsidP="006C0CA7">
      <w:pPr>
        <w:numPr>
          <w:ilvl w:val="0"/>
          <w:numId w:val="7"/>
        </w:numPr>
        <w:tabs>
          <w:tab w:val="left" w:pos="860"/>
        </w:tabs>
        <w:spacing w:line="235" w:lineRule="auto"/>
        <w:ind w:left="860" w:right="20" w:hanging="233"/>
        <w:rPr>
          <w:sz w:val="20"/>
          <w:szCs w:val="20"/>
        </w:rPr>
      </w:pPr>
      <w:r w:rsidRPr="00262527">
        <w:rPr>
          <w:rFonts w:eastAsia="Calibri"/>
          <w:sz w:val="20"/>
          <w:szCs w:val="20"/>
        </w:rPr>
        <w:t>The applicant shall indemnify the issuing entity against any claims, damages, or liabilities arising from their participation in the tender or execution of the con-tract.</w:t>
      </w:r>
    </w:p>
    <w:p w:rsidR="006C0CA7" w:rsidRPr="00262527" w:rsidRDefault="006C0CA7" w:rsidP="006C0CA7">
      <w:pPr>
        <w:spacing w:line="1" w:lineRule="exact"/>
        <w:rPr>
          <w:sz w:val="20"/>
          <w:szCs w:val="20"/>
        </w:rPr>
      </w:pPr>
    </w:p>
    <w:p w:rsidR="006C0CA7" w:rsidRPr="00262527" w:rsidRDefault="006C0CA7" w:rsidP="006C0CA7">
      <w:pPr>
        <w:ind w:left="140"/>
        <w:rPr>
          <w:sz w:val="20"/>
          <w:szCs w:val="20"/>
        </w:rPr>
      </w:pPr>
      <w:r w:rsidRPr="00262527">
        <w:rPr>
          <w:rFonts w:eastAsia="Calibri"/>
          <w:b/>
          <w:bCs/>
          <w:sz w:val="20"/>
          <w:szCs w:val="20"/>
        </w:rPr>
        <w:t>Force Majeure</w:t>
      </w:r>
    </w:p>
    <w:p w:rsidR="006C0CA7" w:rsidRPr="00262527" w:rsidRDefault="006C0CA7" w:rsidP="006C0CA7">
      <w:pPr>
        <w:spacing w:line="6" w:lineRule="exact"/>
        <w:rPr>
          <w:sz w:val="20"/>
          <w:szCs w:val="20"/>
        </w:rPr>
      </w:pPr>
    </w:p>
    <w:p w:rsidR="006C0CA7" w:rsidRPr="00262527" w:rsidRDefault="006C0CA7" w:rsidP="006C0CA7">
      <w:pPr>
        <w:numPr>
          <w:ilvl w:val="0"/>
          <w:numId w:val="8"/>
        </w:numPr>
        <w:tabs>
          <w:tab w:val="left" w:pos="860"/>
        </w:tabs>
        <w:spacing w:line="235" w:lineRule="auto"/>
        <w:ind w:left="860" w:right="80" w:hanging="233"/>
        <w:rPr>
          <w:sz w:val="20"/>
          <w:szCs w:val="20"/>
        </w:rPr>
      </w:pPr>
      <w:r w:rsidRPr="00262527">
        <w:rPr>
          <w:rFonts w:eastAsia="Calibri"/>
          <w:sz w:val="20"/>
          <w:szCs w:val="20"/>
        </w:rPr>
        <w:t>The issuing entity shall not be held liable for any delays or failure to perform obligations due to circumstances beyond its control, including but not limited to natural disasters, strikes, and government actions.</w:t>
      </w:r>
    </w:p>
    <w:p w:rsidR="006C0CA7" w:rsidRPr="00262527" w:rsidRDefault="006C0CA7" w:rsidP="006C0CA7">
      <w:pPr>
        <w:spacing w:line="1" w:lineRule="exact"/>
        <w:rPr>
          <w:sz w:val="20"/>
          <w:szCs w:val="20"/>
        </w:rPr>
      </w:pPr>
    </w:p>
    <w:p w:rsidR="006C0CA7" w:rsidRPr="001030A1" w:rsidRDefault="006C0CA7" w:rsidP="006C0CA7">
      <w:pPr>
        <w:numPr>
          <w:ilvl w:val="0"/>
          <w:numId w:val="8"/>
        </w:numPr>
        <w:tabs>
          <w:tab w:val="left" w:pos="860"/>
        </w:tabs>
        <w:ind w:left="860" w:hanging="233"/>
        <w:rPr>
          <w:sz w:val="20"/>
          <w:szCs w:val="20"/>
        </w:rPr>
      </w:pPr>
      <w:r w:rsidRPr="00262527">
        <w:rPr>
          <w:rFonts w:eastAsia="Calibri"/>
          <w:sz w:val="20"/>
          <w:szCs w:val="20"/>
        </w:rPr>
        <w:t>By submitting a tender application, the applicant acknowledges that they have read, understood, and agreed to abide by these General Terms &amp; Conditions.</w:t>
      </w:r>
    </w:p>
    <w:p w:rsidR="001030A1" w:rsidRDefault="001030A1" w:rsidP="001030A1">
      <w:pPr>
        <w:pStyle w:val="ListParagraph"/>
        <w:rPr>
          <w:sz w:val="20"/>
          <w:szCs w:val="20"/>
        </w:rPr>
      </w:pPr>
    </w:p>
    <w:p w:rsidR="001030A1" w:rsidRPr="00262527" w:rsidRDefault="001030A1" w:rsidP="001030A1">
      <w:pPr>
        <w:tabs>
          <w:tab w:val="left" w:pos="860"/>
        </w:tabs>
        <w:ind w:left="860"/>
        <w:rPr>
          <w:sz w:val="20"/>
          <w:szCs w:val="20"/>
        </w:rPr>
      </w:pPr>
    </w:p>
    <w:p w:rsidR="006C0CA7" w:rsidRPr="00262527" w:rsidRDefault="003961B6" w:rsidP="006C0CA7">
      <w:pPr>
        <w:tabs>
          <w:tab w:val="left" w:pos="860"/>
        </w:tabs>
        <w:rPr>
          <w:rFonts w:eastAsia="Arial"/>
          <w:sz w:val="20"/>
          <w:szCs w:val="20"/>
        </w:rPr>
      </w:pPr>
      <w:r w:rsidRPr="00262527">
        <w:rPr>
          <w:b/>
          <w:bCs/>
          <w:sz w:val="20"/>
          <w:szCs w:val="20"/>
        </w:rPr>
        <w:tab/>
      </w:r>
      <w:r w:rsidR="006C0CA7" w:rsidRPr="00262527">
        <w:rPr>
          <w:b/>
          <w:bCs/>
          <w:sz w:val="20"/>
          <w:szCs w:val="20"/>
        </w:rPr>
        <w:t>Undertaking</w:t>
      </w:r>
    </w:p>
    <w:p w:rsidR="006C0CA7" w:rsidRPr="00262527" w:rsidRDefault="006C0CA7" w:rsidP="003961B6">
      <w:pPr>
        <w:tabs>
          <w:tab w:val="left" w:pos="2352"/>
        </w:tabs>
        <w:rPr>
          <w:b/>
          <w:bCs/>
          <w:sz w:val="20"/>
          <w:szCs w:val="20"/>
        </w:rPr>
      </w:pPr>
    </w:p>
    <w:p w:rsidR="001030A1" w:rsidRDefault="006C0CA7" w:rsidP="003961B6">
      <w:pPr>
        <w:rPr>
          <w:sz w:val="20"/>
          <w:szCs w:val="20"/>
        </w:rPr>
      </w:pPr>
      <w:r w:rsidRPr="00262527">
        <w:rPr>
          <w:b/>
          <w:bCs/>
          <w:sz w:val="20"/>
          <w:szCs w:val="20"/>
        </w:rPr>
        <w:t>It is certified that the above terms &amp; conditions have been read, learned and accepted</w:t>
      </w:r>
      <w:r w:rsidRPr="00262527">
        <w:rPr>
          <w:sz w:val="20"/>
          <w:szCs w:val="20"/>
        </w:rPr>
        <w:t>.</w:t>
      </w:r>
    </w:p>
    <w:p w:rsidR="001030A1" w:rsidRDefault="001030A1" w:rsidP="003961B6">
      <w:pPr>
        <w:rPr>
          <w:rFonts w:eastAsia="Arial"/>
          <w:sz w:val="20"/>
          <w:szCs w:val="20"/>
        </w:rPr>
      </w:pPr>
    </w:p>
    <w:p w:rsidR="001030A1" w:rsidRDefault="001030A1" w:rsidP="003961B6">
      <w:pPr>
        <w:rPr>
          <w:rFonts w:eastAsia="Arial"/>
          <w:sz w:val="20"/>
          <w:szCs w:val="20"/>
        </w:rPr>
      </w:pPr>
    </w:p>
    <w:p w:rsidR="001030A1" w:rsidRDefault="001030A1" w:rsidP="003961B6">
      <w:pPr>
        <w:rPr>
          <w:rFonts w:eastAsia="Arial"/>
          <w:sz w:val="20"/>
          <w:szCs w:val="20"/>
        </w:rPr>
      </w:pPr>
    </w:p>
    <w:p w:rsidR="00F86F0E" w:rsidRDefault="00F86F0E" w:rsidP="003961B6">
      <w:pPr>
        <w:ind w:left="6480"/>
        <w:rPr>
          <w:sz w:val="20"/>
          <w:szCs w:val="20"/>
        </w:rPr>
      </w:pPr>
    </w:p>
    <w:p w:rsidR="00F86F0E" w:rsidRDefault="00F86F0E" w:rsidP="003961B6">
      <w:pPr>
        <w:ind w:left="6480"/>
        <w:rPr>
          <w:sz w:val="20"/>
          <w:szCs w:val="20"/>
        </w:rPr>
      </w:pPr>
    </w:p>
    <w:p w:rsidR="006C0CA7" w:rsidRPr="00262527" w:rsidRDefault="006C0CA7" w:rsidP="003961B6">
      <w:pPr>
        <w:ind w:left="6480"/>
        <w:rPr>
          <w:sz w:val="20"/>
          <w:szCs w:val="20"/>
        </w:rPr>
      </w:pPr>
      <w:r w:rsidRPr="00262527">
        <w:rPr>
          <w:sz w:val="20"/>
          <w:szCs w:val="20"/>
        </w:rPr>
        <w:t>Signature of CEO/Bidder</w:t>
      </w:r>
    </w:p>
    <w:p w:rsidR="006C0CA7" w:rsidRPr="00262527" w:rsidRDefault="006C0CA7" w:rsidP="003961B6">
      <w:pPr>
        <w:ind w:left="5760" w:firstLine="720"/>
        <w:rPr>
          <w:sz w:val="20"/>
          <w:szCs w:val="20"/>
        </w:rPr>
      </w:pPr>
      <w:r w:rsidRPr="00262527">
        <w:rPr>
          <w:sz w:val="20"/>
          <w:szCs w:val="20"/>
        </w:rPr>
        <w:t>Dated: ___/_____/</w:t>
      </w:r>
    </w:p>
    <w:p w:rsidR="006C0CA7" w:rsidRPr="00262527" w:rsidRDefault="006C0CA7" w:rsidP="006C0CA7">
      <w:pPr>
        <w:ind w:left="7340"/>
        <w:rPr>
          <w:sz w:val="20"/>
          <w:szCs w:val="20"/>
        </w:rPr>
      </w:pPr>
    </w:p>
    <w:p w:rsidR="008F7C53" w:rsidRPr="00262527" w:rsidRDefault="008F7C53">
      <w:pPr>
        <w:rPr>
          <w:sz w:val="20"/>
          <w:szCs w:val="20"/>
        </w:rPr>
      </w:pPr>
    </w:p>
    <w:p w:rsidR="006C0CA7" w:rsidRDefault="006C0CA7">
      <w:pPr>
        <w:rPr>
          <w:sz w:val="20"/>
          <w:szCs w:val="20"/>
        </w:rPr>
      </w:pPr>
    </w:p>
    <w:p w:rsidR="00DB71B2" w:rsidRDefault="00DB71B2">
      <w:pPr>
        <w:rPr>
          <w:sz w:val="20"/>
          <w:szCs w:val="20"/>
        </w:rPr>
      </w:pPr>
    </w:p>
    <w:p w:rsidR="00DB71B2" w:rsidRDefault="00DB71B2">
      <w:pPr>
        <w:rPr>
          <w:sz w:val="20"/>
          <w:szCs w:val="20"/>
        </w:rPr>
      </w:pPr>
    </w:p>
    <w:p w:rsidR="00DB71B2" w:rsidRDefault="00DB71B2">
      <w:pPr>
        <w:rPr>
          <w:sz w:val="20"/>
          <w:szCs w:val="20"/>
        </w:rPr>
      </w:pPr>
    </w:p>
    <w:p w:rsidR="00DB71B2" w:rsidRDefault="00DB71B2">
      <w:pPr>
        <w:rPr>
          <w:sz w:val="20"/>
          <w:szCs w:val="20"/>
        </w:rPr>
      </w:pPr>
    </w:p>
    <w:p w:rsidR="00DB71B2" w:rsidRDefault="00DB71B2">
      <w:pPr>
        <w:rPr>
          <w:sz w:val="20"/>
          <w:szCs w:val="20"/>
        </w:rPr>
      </w:pPr>
    </w:p>
    <w:p w:rsidR="00DB71B2" w:rsidRDefault="00DB71B2">
      <w:pPr>
        <w:rPr>
          <w:sz w:val="20"/>
          <w:szCs w:val="20"/>
        </w:rPr>
      </w:pPr>
    </w:p>
    <w:p w:rsidR="00DB71B2" w:rsidRDefault="00DB71B2">
      <w:pPr>
        <w:rPr>
          <w:sz w:val="20"/>
          <w:szCs w:val="20"/>
        </w:rPr>
      </w:pPr>
    </w:p>
    <w:p w:rsidR="00DB71B2" w:rsidRDefault="00DB71B2">
      <w:pPr>
        <w:rPr>
          <w:sz w:val="20"/>
          <w:szCs w:val="20"/>
        </w:rPr>
      </w:pPr>
    </w:p>
    <w:p w:rsidR="00DB71B2" w:rsidRDefault="00DB71B2">
      <w:pPr>
        <w:rPr>
          <w:sz w:val="20"/>
          <w:szCs w:val="20"/>
        </w:rPr>
      </w:pPr>
    </w:p>
    <w:p w:rsidR="00DB71B2" w:rsidRDefault="00DB71B2">
      <w:pPr>
        <w:rPr>
          <w:sz w:val="20"/>
          <w:szCs w:val="20"/>
        </w:rPr>
      </w:pPr>
    </w:p>
    <w:p w:rsidR="00DB71B2" w:rsidRDefault="00DB71B2">
      <w:pPr>
        <w:rPr>
          <w:sz w:val="20"/>
          <w:szCs w:val="20"/>
        </w:rPr>
      </w:pPr>
    </w:p>
    <w:p w:rsidR="00755D0F" w:rsidRDefault="00755D0F" w:rsidP="00DB71B2">
      <w:pPr>
        <w:jc w:val="center"/>
        <w:rPr>
          <w:sz w:val="20"/>
          <w:szCs w:val="20"/>
        </w:rPr>
      </w:pPr>
    </w:p>
    <w:p w:rsidR="00755D0F" w:rsidRDefault="00755D0F" w:rsidP="00DB71B2">
      <w:pPr>
        <w:jc w:val="center"/>
        <w:rPr>
          <w:b/>
          <w:sz w:val="40"/>
          <w:szCs w:val="40"/>
        </w:rPr>
      </w:pPr>
    </w:p>
    <w:tbl>
      <w:tblPr>
        <w:tblpPr w:leftFromText="180" w:rightFromText="180" w:vertAnchor="page" w:horzAnchor="margin" w:tblpXSpec="center" w:tblpY="3397"/>
        <w:tblW w:w="56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
        <w:gridCol w:w="6660"/>
        <w:gridCol w:w="1659"/>
        <w:gridCol w:w="1322"/>
      </w:tblGrid>
      <w:tr w:rsidR="00755D0F" w:rsidRPr="000A3506" w:rsidTr="00755D0F">
        <w:trPr>
          <w:trHeight w:val="292"/>
        </w:trPr>
        <w:tc>
          <w:tcPr>
            <w:tcW w:w="420" w:type="pct"/>
            <w:tcBorders>
              <w:top w:val="double" w:sz="4" w:space="0" w:color="auto"/>
              <w:left w:val="double" w:sz="4" w:space="0" w:color="auto"/>
              <w:bottom w:val="double" w:sz="4" w:space="0" w:color="auto"/>
            </w:tcBorders>
          </w:tcPr>
          <w:p w:rsidR="00755D0F" w:rsidRPr="000A3506" w:rsidRDefault="00755D0F" w:rsidP="00755D0F">
            <w:pPr>
              <w:jc w:val="both"/>
              <w:rPr>
                <w:b/>
              </w:rPr>
            </w:pPr>
            <w:bookmarkStart w:id="1" w:name="_Hlk192756109"/>
            <w:r w:rsidRPr="000A3506">
              <w:rPr>
                <w:b/>
              </w:rPr>
              <w:lastRenderedPageBreak/>
              <w:t>S#</w:t>
            </w:r>
          </w:p>
        </w:tc>
        <w:tc>
          <w:tcPr>
            <w:tcW w:w="3164" w:type="pct"/>
            <w:tcBorders>
              <w:top w:val="double" w:sz="4" w:space="0" w:color="auto"/>
              <w:bottom w:val="double" w:sz="4" w:space="0" w:color="auto"/>
              <w:right w:val="double" w:sz="4" w:space="0" w:color="auto"/>
            </w:tcBorders>
          </w:tcPr>
          <w:p w:rsidR="00755D0F" w:rsidRPr="000A3506" w:rsidRDefault="00755D0F" w:rsidP="00755D0F">
            <w:pPr>
              <w:jc w:val="both"/>
              <w:rPr>
                <w:b/>
              </w:rPr>
            </w:pPr>
            <w:r w:rsidRPr="000A3506">
              <w:rPr>
                <w:b/>
              </w:rPr>
              <w:t>Items with Specification</w:t>
            </w:r>
          </w:p>
        </w:tc>
        <w:tc>
          <w:tcPr>
            <w:tcW w:w="788" w:type="pct"/>
            <w:tcBorders>
              <w:top w:val="double" w:sz="4" w:space="0" w:color="auto"/>
              <w:bottom w:val="double" w:sz="4" w:space="0" w:color="auto"/>
              <w:right w:val="double" w:sz="4" w:space="0" w:color="auto"/>
            </w:tcBorders>
          </w:tcPr>
          <w:p w:rsidR="00755D0F" w:rsidRPr="000A3506" w:rsidRDefault="00755D0F" w:rsidP="00755D0F">
            <w:pPr>
              <w:jc w:val="both"/>
              <w:rPr>
                <w:b/>
              </w:rPr>
            </w:pPr>
            <w:r w:rsidRPr="000A3506">
              <w:rPr>
                <w:b/>
              </w:rPr>
              <w:t>Quantity/Unit</w:t>
            </w:r>
          </w:p>
        </w:tc>
        <w:tc>
          <w:tcPr>
            <w:tcW w:w="628" w:type="pct"/>
            <w:tcBorders>
              <w:top w:val="double" w:sz="4" w:space="0" w:color="auto"/>
              <w:left w:val="double" w:sz="4" w:space="0" w:color="auto"/>
              <w:bottom w:val="double" w:sz="4" w:space="0" w:color="auto"/>
              <w:right w:val="double" w:sz="4" w:space="0" w:color="auto"/>
            </w:tcBorders>
          </w:tcPr>
          <w:p w:rsidR="00755D0F" w:rsidRPr="000A3506" w:rsidRDefault="00755D0F" w:rsidP="00755D0F">
            <w:pPr>
              <w:jc w:val="both"/>
              <w:rPr>
                <w:b/>
              </w:rPr>
            </w:pPr>
            <w:r w:rsidRPr="000A3506">
              <w:rPr>
                <w:b/>
              </w:rPr>
              <w:t>Amount</w:t>
            </w:r>
          </w:p>
        </w:tc>
      </w:tr>
      <w:tr w:rsidR="00755D0F" w:rsidRPr="000A3506" w:rsidTr="00755D0F">
        <w:trPr>
          <w:trHeight w:val="729"/>
        </w:trPr>
        <w:tc>
          <w:tcPr>
            <w:tcW w:w="420" w:type="pct"/>
            <w:tcBorders>
              <w:top w:val="double" w:sz="4" w:space="0" w:color="auto"/>
            </w:tcBorders>
          </w:tcPr>
          <w:p w:rsidR="00755D0F" w:rsidRPr="000A3506" w:rsidRDefault="00755D0F" w:rsidP="00755D0F">
            <w:pPr>
              <w:numPr>
                <w:ilvl w:val="0"/>
                <w:numId w:val="1"/>
              </w:numPr>
              <w:tabs>
                <w:tab w:val="left" w:pos="180"/>
                <w:tab w:val="left" w:pos="525"/>
              </w:tabs>
              <w:jc w:val="center"/>
              <w:rPr>
                <w:sz w:val="20"/>
                <w:szCs w:val="20"/>
              </w:rPr>
            </w:pPr>
          </w:p>
        </w:tc>
        <w:tc>
          <w:tcPr>
            <w:tcW w:w="3164" w:type="pct"/>
            <w:tcBorders>
              <w:top w:val="double" w:sz="4" w:space="0" w:color="auto"/>
            </w:tcBorders>
            <w:vAlign w:val="center"/>
          </w:tcPr>
          <w:p w:rsidR="00755D0F" w:rsidRPr="000A3506" w:rsidRDefault="00755D0F" w:rsidP="00755D0F">
            <w:pPr>
              <w:shd w:val="clear" w:color="auto" w:fill="FFFFFF"/>
              <w:spacing w:line="330" w:lineRule="atLeast"/>
              <w:jc w:val="both"/>
              <w:rPr>
                <w:sz w:val="20"/>
                <w:szCs w:val="20"/>
              </w:rPr>
            </w:pPr>
            <w:r w:rsidRPr="000A3506">
              <w:rPr>
                <w:sz w:val="20"/>
                <w:szCs w:val="20"/>
              </w:rPr>
              <w:t xml:space="preserve"> </w:t>
            </w:r>
            <w:r w:rsidRPr="000A3506">
              <w:rPr>
                <w:b/>
                <w:sz w:val="20"/>
                <w:szCs w:val="20"/>
              </w:rPr>
              <w:t>Paper Rim:</w:t>
            </w:r>
            <w:r w:rsidRPr="000A3506">
              <w:rPr>
                <w:sz w:val="20"/>
                <w:szCs w:val="20"/>
              </w:rPr>
              <w:t xml:space="preserve"> Dimensions A4 measures 8.27 x 11.69 in inches, 210 x 297 in mm, or 21.0 x 29.7 in cm. ...</w:t>
            </w:r>
          </w:p>
        </w:tc>
        <w:tc>
          <w:tcPr>
            <w:tcW w:w="788" w:type="pct"/>
            <w:tcBorders>
              <w:top w:val="double" w:sz="4" w:space="0" w:color="auto"/>
            </w:tcBorders>
          </w:tcPr>
          <w:p w:rsidR="00755D0F" w:rsidRDefault="00755D0F" w:rsidP="00755D0F">
            <w:pPr>
              <w:jc w:val="center"/>
              <w:rPr>
                <w:sz w:val="20"/>
                <w:szCs w:val="20"/>
              </w:rPr>
            </w:pPr>
          </w:p>
          <w:p w:rsidR="00755D0F" w:rsidRPr="000A3506" w:rsidRDefault="00755D0F" w:rsidP="00755D0F">
            <w:pPr>
              <w:jc w:val="center"/>
              <w:rPr>
                <w:sz w:val="20"/>
                <w:szCs w:val="20"/>
              </w:rPr>
            </w:pPr>
            <w:r w:rsidRPr="000A3506">
              <w:rPr>
                <w:sz w:val="20"/>
                <w:szCs w:val="20"/>
              </w:rPr>
              <w:t>150</w:t>
            </w:r>
          </w:p>
        </w:tc>
        <w:tc>
          <w:tcPr>
            <w:tcW w:w="628" w:type="pct"/>
            <w:tcBorders>
              <w:top w:val="double" w:sz="4" w:space="0" w:color="auto"/>
            </w:tcBorders>
          </w:tcPr>
          <w:p w:rsidR="00755D0F" w:rsidRPr="000A3506" w:rsidRDefault="00755D0F" w:rsidP="00755D0F">
            <w:pPr>
              <w:jc w:val="both"/>
              <w:rPr>
                <w:sz w:val="20"/>
                <w:szCs w:val="20"/>
              </w:rPr>
            </w:pPr>
          </w:p>
        </w:tc>
      </w:tr>
      <w:tr w:rsidR="00755D0F" w:rsidRPr="000A3506" w:rsidTr="00755D0F">
        <w:trPr>
          <w:trHeight w:val="71"/>
        </w:trPr>
        <w:tc>
          <w:tcPr>
            <w:tcW w:w="420" w:type="pct"/>
          </w:tcPr>
          <w:p w:rsidR="00755D0F" w:rsidRPr="000A3506" w:rsidRDefault="00755D0F" w:rsidP="00755D0F">
            <w:pPr>
              <w:numPr>
                <w:ilvl w:val="0"/>
                <w:numId w:val="1"/>
              </w:numPr>
              <w:tabs>
                <w:tab w:val="left" w:pos="180"/>
                <w:tab w:val="left" w:pos="525"/>
              </w:tabs>
              <w:jc w:val="center"/>
              <w:rPr>
                <w:sz w:val="20"/>
                <w:szCs w:val="20"/>
              </w:rPr>
            </w:pPr>
          </w:p>
        </w:tc>
        <w:tc>
          <w:tcPr>
            <w:tcW w:w="3164" w:type="pct"/>
            <w:vAlign w:val="center"/>
          </w:tcPr>
          <w:p w:rsidR="00755D0F" w:rsidRPr="000A3506" w:rsidRDefault="00755D0F" w:rsidP="00755D0F">
            <w:pPr>
              <w:jc w:val="both"/>
              <w:rPr>
                <w:sz w:val="20"/>
                <w:szCs w:val="20"/>
              </w:rPr>
            </w:pPr>
            <w:r w:rsidRPr="000A3506">
              <w:rPr>
                <w:b/>
                <w:sz w:val="20"/>
                <w:szCs w:val="20"/>
                <w:shd w:val="clear" w:color="auto" w:fill="FFFFFF"/>
              </w:rPr>
              <w:t>Paper Rim:</w:t>
            </w:r>
            <w:r w:rsidRPr="000A3506">
              <w:rPr>
                <w:sz w:val="20"/>
                <w:szCs w:val="20"/>
                <w:shd w:val="clear" w:color="auto" w:fill="FFFFFF"/>
              </w:rPr>
              <w:t xml:space="preserve">  Legal size page measures 216 × 356 millimeters or 8.5 × 14.00 inches</w:t>
            </w:r>
          </w:p>
        </w:tc>
        <w:tc>
          <w:tcPr>
            <w:tcW w:w="788" w:type="pct"/>
          </w:tcPr>
          <w:p w:rsidR="00755D0F" w:rsidRDefault="00755D0F" w:rsidP="00755D0F">
            <w:pPr>
              <w:jc w:val="center"/>
              <w:rPr>
                <w:sz w:val="20"/>
                <w:szCs w:val="20"/>
              </w:rPr>
            </w:pPr>
          </w:p>
          <w:p w:rsidR="00755D0F" w:rsidRPr="000A3506" w:rsidRDefault="00755D0F" w:rsidP="00755D0F">
            <w:pPr>
              <w:jc w:val="center"/>
              <w:rPr>
                <w:sz w:val="20"/>
                <w:szCs w:val="20"/>
              </w:rPr>
            </w:pPr>
            <w:r>
              <w:rPr>
                <w:sz w:val="20"/>
                <w:szCs w:val="20"/>
              </w:rPr>
              <w:t>150</w:t>
            </w:r>
          </w:p>
        </w:tc>
        <w:tc>
          <w:tcPr>
            <w:tcW w:w="628" w:type="pct"/>
          </w:tcPr>
          <w:p w:rsidR="00755D0F" w:rsidRPr="000A3506" w:rsidRDefault="00755D0F" w:rsidP="00755D0F">
            <w:pPr>
              <w:jc w:val="both"/>
              <w:rPr>
                <w:sz w:val="20"/>
                <w:szCs w:val="20"/>
              </w:rPr>
            </w:pPr>
          </w:p>
        </w:tc>
      </w:tr>
      <w:tr w:rsidR="00755D0F" w:rsidRPr="000A3506" w:rsidTr="00755D0F">
        <w:trPr>
          <w:trHeight w:val="71"/>
        </w:trPr>
        <w:tc>
          <w:tcPr>
            <w:tcW w:w="420" w:type="pct"/>
          </w:tcPr>
          <w:p w:rsidR="00755D0F" w:rsidRPr="000A3506" w:rsidRDefault="00755D0F" w:rsidP="00755D0F">
            <w:pPr>
              <w:numPr>
                <w:ilvl w:val="0"/>
                <w:numId w:val="1"/>
              </w:numPr>
              <w:tabs>
                <w:tab w:val="left" w:pos="180"/>
                <w:tab w:val="left" w:pos="525"/>
              </w:tabs>
              <w:jc w:val="center"/>
              <w:rPr>
                <w:sz w:val="20"/>
                <w:szCs w:val="20"/>
              </w:rPr>
            </w:pPr>
          </w:p>
        </w:tc>
        <w:tc>
          <w:tcPr>
            <w:tcW w:w="3164" w:type="pct"/>
            <w:vAlign w:val="center"/>
          </w:tcPr>
          <w:p w:rsidR="00755D0F" w:rsidRPr="000A3506" w:rsidRDefault="00755D0F" w:rsidP="00755D0F">
            <w:pPr>
              <w:jc w:val="both"/>
              <w:rPr>
                <w:sz w:val="20"/>
                <w:szCs w:val="20"/>
              </w:rPr>
            </w:pPr>
            <w:r w:rsidRPr="000A3506">
              <w:rPr>
                <w:b/>
                <w:sz w:val="20"/>
                <w:szCs w:val="20"/>
              </w:rPr>
              <w:t>Notepad:</w:t>
            </w:r>
            <w:r w:rsidRPr="000A3506">
              <w:rPr>
                <w:sz w:val="20"/>
                <w:szCs w:val="20"/>
                <w:shd w:val="clear" w:color="auto" w:fill="FFFFFF"/>
              </w:rPr>
              <w:t xml:space="preserve"> Notepad, A6 size (105 x 148 mm) made from plain, white, 75% recovered paper </w:t>
            </w:r>
            <w:proofErr w:type="spellStart"/>
            <w:r w:rsidRPr="000A3506">
              <w:rPr>
                <w:sz w:val="20"/>
                <w:szCs w:val="20"/>
                <w:shd w:val="clear" w:color="auto" w:fill="FFFFFF"/>
              </w:rPr>
              <w:t>fibres</w:t>
            </w:r>
            <w:proofErr w:type="spellEnd"/>
            <w:r w:rsidRPr="000A3506">
              <w:rPr>
                <w:sz w:val="20"/>
                <w:szCs w:val="20"/>
                <w:shd w:val="clear" w:color="auto" w:fill="FFFFFF"/>
              </w:rPr>
              <w:t xml:space="preserve"> (post and pre-consumer waste) 60gsm (±5% tolerance). Each pad contains 100 sheets, bound along the short (approx. 105 mm) side, without a coversheet. The bound area at the top of the pad should be covered by either a strip of cloth or paper</w:t>
            </w:r>
          </w:p>
        </w:tc>
        <w:tc>
          <w:tcPr>
            <w:tcW w:w="788" w:type="pct"/>
          </w:tcPr>
          <w:p w:rsidR="00755D0F" w:rsidRDefault="00755D0F" w:rsidP="00755D0F">
            <w:pPr>
              <w:jc w:val="center"/>
              <w:rPr>
                <w:sz w:val="20"/>
                <w:szCs w:val="20"/>
              </w:rPr>
            </w:pPr>
          </w:p>
          <w:p w:rsidR="00755D0F" w:rsidRDefault="00755D0F" w:rsidP="00755D0F">
            <w:pPr>
              <w:jc w:val="center"/>
              <w:rPr>
                <w:sz w:val="20"/>
                <w:szCs w:val="20"/>
              </w:rPr>
            </w:pPr>
          </w:p>
          <w:p w:rsidR="00755D0F" w:rsidRPr="000A3506" w:rsidRDefault="00755D0F" w:rsidP="00755D0F">
            <w:pPr>
              <w:jc w:val="center"/>
              <w:rPr>
                <w:sz w:val="20"/>
                <w:szCs w:val="20"/>
              </w:rPr>
            </w:pPr>
            <w:r>
              <w:rPr>
                <w:sz w:val="20"/>
                <w:szCs w:val="20"/>
              </w:rPr>
              <w:t>3600</w:t>
            </w:r>
          </w:p>
        </w:tc>
        <w:tc>
          <w:tcPr>
            <w:tcW w:w="628" w:type="pct"/>
          </w:tcPr>
          <w:p w:rsidR="00755D0F" w:rsidRPr="000A3506" w:rsidRDefault="00755D0F" w:rsidP="00755D0F">
            <w:pPr>
              <w:jc w:val="both"/>
              <w:rPr>
                <w:sz w:val="20"/>
                <w:szCs w:val="20"/>
              </w:rPr>
            </w:pPr>
          </w:p>
        </w:tc>
      </w:tr>
      <w:tr w:rsidR="00755D0F" w:rsidRPr="000A3506" w:rsidTr="00755D0F">
        <w:trPr>
          <w:trHeight w:val="71"/>
        </w:trPr>
        <w:tc>
          <w:tcPr>
            <w:tcW w:w="420" w:type="pct"/>
          </w:tcPr>
          <w:p w:rsidR="00755D0F" w:rsidRPr="000A3506" w:rsidRDefault="00755D0F" w:rsidP="00755D0F">
            <w:pPr>
              <w:numPr>
                <w:ilvl w:val="0"/>
                <w:numId w:val="1"/>
              </w:numPr>
              <w:tabs>
                <w:tab w:val="left" w:pos="180"/>
                <w:tab w:val="left" w:pos="525"/>
              </w:tabs>
              <w:jc w:val="center"/>
              <w:rPr>
                <w:sz w:val="20"/>
                <w:szCs w:val="20"/>
              </w:rPr>
            </w:pPr>
          </w:p>
        </w:tc>
        <w:tc>
          <w:tcPr>
            <w:tcW w:w="3164" w:type="pct"/>
            <w:vAlign w:val="center"/>
          </w:tcPr>
          <w:p w:rsidR="00755D0F" w:rsidRPr="000A3506" w:rsidRDefault="00755D0F" w:rsidP="00755D0F">
            <w:pPr>
              <w:jc w:val="both"/>
              <w:rPr>
                <w:sz w:val="20"/>
                <w:szCs w:val="20"/>
              </w:rPr>
            </w:pPr>
            <w:r w:rsidRPr="000A3506">
              <w:rPr>
                <w:b/>
                <w:sz w:val="20"/>
                <w:szCs w:val="20"/>
              </w:rPr>
              <w:t>Ball Pen:</w:t>
            </w:r>
            <w:r w:rsidRPr="000A3506">
              <w:rPr>
                <w:sz w:val="20"/>
                <w:szCs w:val="20"/>
              </w:rPr>
              <w:t xml:space="preserve"> </w:t>
            </w:r>
            <w:r w:rsidRPr="000A3506">
              <w:rPr>
                <w:sz w:val="20"/>
                <w:szCs w:val="20"/>
                <w:shd w:val="clear" w:color="auto" w:fill="FFFFFF"/>
              </w:rPr>
              <w:t xml:space="preserve">Pen, ball-point, blue, box of 10 each, Ball point pen, 1mm ball, blue, tropical ink, writing distance minimum 2 ,000 </w:t>
            </w:r>
            <w:proofErr w:type="spellStart"/>
            <w:r w:rsidRPr="000A3506">
              <w:rPr>
                <w:sz w:val="20"/>
                <w:szCs w:val="20"/>
                <w:shd w:val="clear" w:color="auto" w:fill="FFFFFF"/>
              </w:rPr>
              <w:t>metres</w:t>
            </w:r>
            <w:proofErr w:type="spellEnd"/>
            <w:r w:rsidRPr="000A3506">
              <w:rPr>
                <w:sz w:val="20"/>
                <w:szCs w:val="20"/>
                <w:shd w:val="clear" w:color="auto" w:fill="FFFFFF"/>
              </w:rPr>
              <w:t>, approximate quantity of ink 0.30-0.37g. Cardboard box of 10 pens, over packed with 10 boxes in an inner carton (i.e. 100 pens in all) Estimated weight: 77g.</w:t>
            </w:r>
          </w:p>
        </w:tc>
        <w:tc>
          <w:tcPr>
            <w:tcW w:w="788" w:type="pct"/>
          </w:tcPr>
          <w:p w:rsidR="00755D0F" w:rsidRDefault="00755D0F" w:rsidP="00755D0F">
            <w:pPr>
              <w:jc w:val="center"/>
              <w:rPr>
                <w:sz w:val="20"/>
                <w:szCs w:val="20"/>
              </w:rPr>
            </w:pPr>
          </w:p>
          <w:p w:rsidR="00755D0F" w:rsidRDefault="00755D0F" w:rsidP="00755D0F">
            <w:pPr>
              <w:jc w:val="center"/>
              <w:rPr>
                <w:sz w:val="20"/>
                <w:szCs w:val="20"/>
              </w:rPr>
            </w:pPr>
          </w:p>
          <w:p w:rsidR="00755D0F" w:rsidRPr="000A3506" w:rsidRDefault="00755D0F" w:rsidP="00755D0F">
            <w:pPr>
              <w:jc w:val="center"/>
              <w:rPr>
                <w:sz w:val="20"/>
                <w:szCs w:val="20"/>
              </w:rPr>
            </w:pPr>
            <w:r>
              <w:rPr>
                <w:sz w:val="20"/>
                <w:szCs w:val="20"/>
              </w:rPr>
              <w:t>3600</w:t>
            </w:r>
          </w:p>
        </w:tc>
        <w:tc>
          <w:tcPr>
            <w:tcW w:w="628" w:type="pct"/>
          </w:tcPr>
          <w:p w:rsidR="00755D0F" w:rsidRPr="000A3506" w:rsidRDefault="00755D0F" w:rsidP="00755D0F">
            <w:pPr>
              <w:jc w:val="both"/>
              <w:rPr>
                <w:sz w:val="20"/>
                <w:szCs w:val="20"/>
              </w:rPr>
            </w:pPr>
          </w:p>
        </w:tc>
      </w:tr>
      <w:tr w:rsidR="00755D0F" w:rsidRPr="000A3506" w:rsidTr="00755D0F">
        <w:trPr>
          <w:trHeight w:val="71"/>
        </w:trPr>
        <w:tc>
          <w:tcPr>
            <w:tcW w:w="420" w:type="pct"/>
          </w:tcPr>
          <w:p w:rsidR="00755D0F" w:rsidRPr="000A3506" w:rsidRDefault="00755D0F" w:rsidP="00755D0F">
            <w:pPr>
              <w:numPr>
                <w:ilvl w:val="0"/>
                <w:numId w:val="1"/>
              </w:numPr>
              <w:tabs>
                <w:tab w:val="left" w:pos="180"/>
                <w:tab w:val="left" w:pos="525"/>
              </w:tabs>
              <w:jc w:val="center"/>
              <w:rPr>
                <w:sz w:val="20"/>
                <w:szCs w:val="20"/>
              </w:rPr>
            </w:pPr>
          </w:p>
        </w:tc>
        <w:tc>
          <w:tcPr>
            <w:tcW w:w="3164" w:type="pct"/>
            <w:vAlign w:val="center"/>
          </w:tcPr>
          <w:p w:rsidR="00755D0F" w:rsidRPr="000A3506" w:rsidRDefault="00755D0F" w:rsidP="00755D0F">
            <w:pPr>
              <w:jc w:val="both"/>
              <w:rPr>
                <w:sz w:val="20"/>
                <w:szCs w:val="20"/>
              </w:rPr>
            </w:pPr>
            <w:r w:rsidRPr="000A3506">
              <w:rPr>
                <w:b/>
                <w:sz w:val="20"/>
                <w:szCs w:val="20"/>
                <w:shd w:val="clear" w:color="auto" w:fill="FFFFFF"/>
              </w:rPr>
              <w:t>Pencil:</w:t>
            </w:r>
            <w:r w:rsidRPr="000A3506">
              <w:rPr>
                <w:sz w:val="20"/>
                <w:szCs w:val="20"/>
                <w:shd w:val="clear" w:color="auto" w:fill="FFFFFF"/>
              </w:rPr>
              <w:t xml:space="preserve"> black lead core (3mm core), quality wood casing, cyan color, hexagonal in shape, suitable for use on all paper surfaces. The length of the pencil should be 175mm. The pencil should be presented without eraser and sharpened. The pencil should be easy to sharpen with a standard plastic or metal sharpener and pare smoothly and consistently.</w:t>
            </w:r>
          </w:p>
        </w:tc>
        <w:tc>
          <w:tcPr>
            <w:tcW w:w="788" w:type="pct"/>
          </w:tcPr>
          <w:p w:rsidR="00755D0F" w:rsidRDefault="00755D0F" w:rsidP="00755D0F">
            <w:pPr>
              <w:jc w:val="center"/>
              <w:rPr>
                <w:sz w:val="20"/>
                <w:szCs w:val="20"/>
              </w:rPr>
            </w:pPr>
          </w:p>
          <w:p w:rsidR="00755D0F" w:rsidRDefault="00755D0F" w:rsidP="00755D0F">
            <w:pPr>
              <w:jc w:val="center"/>
              <w:rPr>
                <w:sz w:val="20"/>
                <w:szCs w:val="20"/>
              </w:rPr>
            </w:pPr>
          </w:p>
          <w:p w:rsidR="00755D0F" w:rsidRPr="000A3506" w:rsidRDefault="00755D0F" w:rsidP="00755D0F">
            <w:pPr>
              <w:jc w:val="center"/>
              <w:rPr>
                <w:sz w:val="20"/>
                <w:szCs w:val="20"/>
              </w:rPr>
            </w:pPr>
            <w:r>
              <w:rPr>
                <w:sz w:val="20"/>
                <w:szCs w:val="20"/>
              </w:rPr>
              <w:t>3600</w:t>
            </w:r>
          </w:p>
        </w:tc>
        <w:tc>
          <w:tcPr>
            <w:tcW w:w="628" w:type="pct"/>
          </w:tcPr>
          <w:p w:rsidR="00755D0F" w:rsidRPr="000A3506" w:rsidRDefault="00755D0F" w:rsidP="00755D0F">
            <w:pPr>
              <w:jc w:val="both"/>
              <w:rPr>
                <w:sz w:val="20"/>
                <w:szCs w:val="20"/>
              </w:rPr>
            </w:pPr>
          </w:p>
        </w:tc>
      </w:tr>
      <w:tr w:rsidR="00755D0F" w:rsidRPr="000A3506" w:rsidTr="00755D0F">
        <w:trPr>
          <w:trHeight w:val="71"/>
        </w:trPr>
        <w:tc>
          <w:tcPr>
            <w:tcW w:w="420" w:type="pct"/>
          </w:tcPr>
          <w:p w:rsidR="00755D0F" w:rsidRPr="000A3506" w:rsidRDefault="00755D0F" w:rsidP="00755D0F">
            <w:pPr>
              <w:numPr>
                <w:ilvl w:val="0"/>
                <w:numId w:val="1"/>
              </w:numPr>
              <w:tabs>
                <w:tab w:val="left" w:pos="180"/>
                <w:tab w:val="left" w:pos="525"/>
              </w:tabs>
              <w:jc w:val="center"/>
              <w:rPr>
                <w:sz w:val="20"/>
                <w:szCs w:val="20"/>
              </w:rPr>
            </w:pPr>
          </w:p>
        </w:tc>
        <w:tc>
          <w:tcPr>
            <w:tcW w:w="3164" w:type="pct"/>
            <w:vAlign w:val="center"/>
          </w:tcPr>
          <w:p w:rsidR="00755D0F" w:rsidRPr="000A3506" w:rsidRDefault="00755D0F" w:rsidP="00755D0F">
            <w:pPr>
              <w:jc w:val="both"/>
              <w:rPr>
                <w:sz w:val="20"/>
                <w:szCs w:val="20"/>
              </w:rPr>
            </w:pPr>
            <w:r w:rsidRPr="000A3506">
              <w:rPr>
                <w:sz w:val="20"/>
                <w:szCs w:val="20"/>
              </w:rPr>
              <w:t>Eraser:</w:t>
            </w:r>
            <w:r w:rsidRPr="000A3506">
              <w:rPr>
                <w:sz w:val="20"/>
                <w:szCs w:val="20"/>
                <w:shd w:val="clear" w:color="auto" w:fill="FFFFFF"/>
              </w:rPr>
              <w:t xml:space="preserve"> Eraser, soft, for pencil, box of 20, Eraser, soft, white, synthetic or natural rubber, non-toxic, dimensions are 30 x 20 x 10mm. The eraser is able to remove pencil marks without staining and erode at a uniform rate, Estimated weight: 0.250kg</w:t>
            </w:r>
            <w:r w:rsidRPr="000A3506">
              <w:rPr>
                <w:sz w:val="20"/>
                <w:szCs w:val="20"/>
              </w:rPr>
              <w:br/>
            </w:r>
            <w:r w:rsidRPr="000A3506">
              <w:rPr>
                <w:sz w:val="20"/>
                <w:szCs w:val="20"/>
                <w:shd w:val="clear" w:color="auto" w:fill="FFFFFF"/>
              </w:rPr>
              <w:t>Estimated volume: 0.188cdm, One box of 20 erasers, over-packed with 5 boxes (each of 20 erasers, i.e. 100 erasers in all).</w:t>
            </w:r>
          </w:p>
        </w:tc>
        <w:tc>
          <w:tcPr>
            <w:tcW w:w="788" w:type="pct"/>
          </w:tcPr>
          <w:p w:rsidR="00755D0F" w:rsidRPr="000A3506" w:rsidRDefault="00755D0F" w:rsidP="00755D0F">
            <w:pPr>
              <w:jc w:val="center"/>
              <w:rPr>
                <w:sz w:val="20"/>
                <w:szCs w:val="20"/>
              </w:rPr>
            </w:pPr>
            <w:r>
              <w:rPr>
                <w:sz w:val="20"/>
                <w:szCs w:val="20"/>
              </w:rPr>
              <w:t>3600</w:t>
            </w:r>
          </w:p>
        </w:tc>
        <w:tc>
          <w:tcPr>
            <w:tcW w:w="628" w:type="pct"/>
          </w:tcPr>
          <w:p w:rsidR="00755D0F" w:rsidRPr="000A3506" w:rsidRDefault="00755D0F" w:rsidP="00755D0F">
            <w:pPr>
              <w:jc w:val="both"/>
              <w:rPr>
                <w:sz w:val="20"/>
                <w:szCs w:val="20"/>
              </w:rPr>
            </w:pPr>
          </w:p>
        </w:tc>
      </w:tr>
      <w:tr w:rsidR="00755D0F" w:rsidRPr="000A3506" w:rsidTr="00755D0F">
        <w:trPr>
          <w:trHeight w:val="71"/>
        </w:trPr>
        <w:tc>
          <w:tcPr>
            <w:tcW w:w="420" w:type="pct"/>
          </w:tcPr>
          <w:p w:rsidR="00755D0F" w:rsidRPr="000A3506" w:rsidRDefault="00755D0F" w:rsidP="00755D0F">
            <w:pPr>
              <w:numPr>
                <w:ilvl w:val="0"/>
                <w:numId w:val="1"/>
              </w:numPr>
              <w:tabs>
                <w:tab w:val="left" w:pos="180"/>
                <w:tab w:val="left" w:pos="525"/>
              </w:tabs>
              <w:jc w:val="center"/>
              <w:rPr>
                <w:sz w:val="20"/>
                <w:szCs w:val="20"/>
              </w:rPr>
            </w:pPr>
          </w:p>
        </w:tc>
        <w:tc>
          <w:tcPr>
            <w:tcW w:w="3164" w:type="pct"/>
            <w:vAlign w:val="center"/>
          </w:tcPr>
          <w:p w:rsidR="00755D0F" w:rsidRPr="000A3506" w:rsidRDefault="00755D0F" w:rsidP="00755D0F">
            <w:pPr>
              <w:jc w:val="both"/>
              <w:rPr>
                <w:sz w:val="20"/>
                <w:szCs w:val="20"/>
              </w:rPr>
            </w:pPr>
            <w:r w:rsidRPr="000A3506">
              <w:rPr>
                <w:b/>
                <w:sz w:val="20"/>
                <w:szCs w:val="20"/>
              </w:rPr>
              <w:t>Sharpener:</w:t>
            </w:r>
            <w:r w:rsidRPr="000A3506">
              <w:rPr>
                <w:sz w:val="20"/>
                <w:szCs w:val="20"/>
              </w:rPr>
              <w:t xml:space="preserve"> </w:t>
            </w:r>
            <w:r w:rsidRPr="000A3506">
              <w:rPr>
                <w:sz w:val="20"/>
                <w:szCs w:val="20"/>
                <w:shd w:val="clear" w:color="auto" w:fill="FFFFFF"/>
              </w:rPr>
              <w:t xml:space="preserve">Durable metal casing, steel blade, Screw-retained steel blade, easy to clean, </w:t>
            </w:r>
            <w:proofErr w:type="gramStart"/>
            <w:r w:rsidRPr="000A3506">
              <w:rPr>
                <w:sz w:val="20"/>
                <w:szCs w:val="20"/>
                <w:shd w:val="clear" w:color="auto" w:fill="FFFFFF"/>
              </w:rPr>
              <w:t>Adapted</w:t>
            </w:r>
            <w:proofErr w:type="gramEnd"/>
            <w:r w:rsidRPr="000A3506">
              <w:rPr>
                <w:sz w:val="20"/>
                <w:szCs w:val="20"/>
                <w:shd w:val="clear" w:color="auto" w:fill="FFFFFF"/>
              </w:rPr>
              <w:t xml:space="preserve"> to sharpen HB and </w:t>
            </w:r>
            <w:proofErr w:type="spellStart"/>
            <w:r w:rsidRPr="000A3506">
              <w:rPr>
                <w:sz w:val="20"/>
                <w:szCs w:val="20"/>
                <w:shd w:val="clear" w:color="auto" w:fill="FFFFFF"/>
              </w:rPr>
              <w:t>colouring</w:t>
            </w:r>
            <w:proofErr w:type="spellEnd"/>
            <w:r w:rsidRPr="000A3506">
              <w:rPr>
                <w:sz w:val="20"/>
                <w:szCs w:val="20"/>
                <w:shd w:val="clear" w:color="auto" w:fill="FFFFFF"/>
              </w:rPr>
              <w:t xml:space="preserve"> pencils of 7 mm diameter (+/-5%), Approx. 2.5 x 1 x 1.5 cm.</w:t>
            </w:r>
          </w:p>
        </w:tc>
        <w:tc>
          <w:tcPr>
            <w:tcW w:w="788" w:type="pct"/>
          </w:tcPr>
          <w:p w:rsidR="00755D0F" w:rsidRDefault="00755D0F" w:rsidP="00755D0F">
            <w:pPr>
              <w:jc w:val="center"/>
              <w:rPr>
                <w:sz w:val="20"/>
                <w:szCs w:val="20"/>
              </w:rPr>
            </w:pPr>
          </w:p>
          <w:p w:rsidR="00755D0F" w:rsidRPr="000A3506" w:rsidRDefault="00755D0F" w:rsidP="00755D0F">
            <w:pPr>
              <w:jc w:val="center"/>
              <w:rPr>
                <w:sz w:val="20"/>
                <w:szCs w:val="20"/>
              </w:rPr>
            </w:pPr>
            <w:r>
              <w:rPr>
                <w:sz w:val="20"/>
                <w:szCs w:val="20"/>
              </w:rPr>
              <w:t>3600</w:t>
            </w:r>
          </w:p>
        </w:tc>
        <w:tc>
          <w:tcPr>
            <w:tcW w:w="628" w:type="pct"/>
          </w:tcPr>
          <w:p w:rsidR="00755D0F" w:rsidRPr="000A3506" w:rsidRDefault="00755D0F" w:rsidP="00755D0F">
            <w:pPr>
              <w:jc w:val="both"/>
              <w:rPr>
                <w:sz w:val="20"/>
                <w:szCs w:val="20"/>
              </w:rPr>
            </w:pPr>
          </w:p>
        </w:tc>
      </w:tr>
      <w:tr w:rsidR="00755D0F" w:rsidRPr="000A3506" w:rsidTr="00755D0F">
        <w:trPr>
          <w:trHeight w:val="71"/>
        </w:trPr>
        <w:tc>
          <w:tcPr>
            <w:tcW w:w="420" w:type="pct"/>
          </w:tcPr>
          <w:p w:rsidR="00755D0F" w:rsidRPr="000A3506" w:rsidRDefault="00755D0F" w:rsidP="00755D0F">
            <w:pPr>
              <w:numPr>
                <w:ilvl w:val="0"/>
                <w:numId w:val="1"/>
              </w:numPr>
              <w:tabs>
                <w:tab w:val="left" w:pos="180"/>
                <w:tab w:val="left" w:pos="525"/>
              </w:tabs>
              <w:jc w:val="center"/>
              <w:rPr>
                <w:sz w:val="20"/>
                <w:szCs w:val="20"/>
              </w:rPr>
            </w:pPr>
          </w:p>
        </w:tc>
        <w:tc>
          <w:tcPr>
            <w:tcW w:w="3164" w:type="pct"/>
            <w:vAlign w:val="center"/>
          </w:tcPr>
          <w:p w:rsidR="00755D0F" w:rsidRPr="000A3506" w:rsidRDefault="00755D0F" w:rsidP="00755D0F">
            <w:pPr>
              <w:jc w:val="both"/>
              <w:rPr>
                <w:sz w:val="20"/>
                <w:szCs w:val="20"/>
              </w:rPr>
            </w:pPr>
            <w:r w:rsidRPr="000A3506">
              <w:rPr>
                <w:b/>
                <w:sz w:val="20"/>
                <w:szCs w:val="20"/>
              </w:rPr>
              <w:t>Plastic File:</w:t>
            </w:r>
            <w:r w:rsidRPr="000A3506">
              <w:rPr>
                <w:sz w:val="20"/>
                <w:szCs w:val="20"/>
              </w:rPr>
              <w:t xml:space="preserve"> </w:t>
            </w:r>
            <w:r w:rsidRPr="000A3506">
              <w:rPr>
                <w:sz w:val="20"/>
                <w:szCs w:val="20"/>
                <w:shd w:val="clear" w:color="auto" w:fill="FFFFFF"/>
              </w:rPr>
              <w:t>Dimension: 12.2 x 8.6 inches (31 x 22cm), perfect for A4 size files. Pack of 30.</w:t>
            </w:r>
            <w:r>
              <w:rPr>
                <w:sz w:val="20"/>
                <w:szCs w:val="20"/>
                <w:shd w:val="clear" w:color="auto" w:fill="FFFFFF"/>
              </w:rPr>
              <w:t xml:space="preserve"> </w:t>
            </w:r>
            <w:r w:rsidRPr="000A3506">
              <w:rPr>
                <w:sz w:val="20"/>
                <w:szCs w:val="20"/>
                <w:shd w:val="clear" w:color="auto" w:fill="FFFFFF"/>
              </w:rPr>
              <w:t>Material: Made of PP plastic,</w:t>
            </w:r>
          </w:p>
        </w:tc>
        <w:tc>
          <w:tcPr>
            <w:tcW w:w="788" w:type="pct"/>
          </w:tcPr>
          <w:p w:rsidR="00755D0F" w:rsidRDefault="00755D0F" w:rsidP="00755D0F">
            <w:pPr>
              <w:jc w:val="center"/>
              <w:rPr>
                <w:sz w:val="20"/>
                <w:szCs w:val="20"/>
              </w:rPr>
            </w:pPr>
          </w:p>
          <w:p w:rsidR="00755D0F" w:rsidRPr="000A3506" w:rsidRDefault="00755D0F" w:rsidP="00755D0F">
            <w:pPr>
              <w:jc w:val="center"/>
              <w:rPr>
                <w:sz w:val="20"/>
                <w:szCs w:val="20"/>
              </w:rPr>
            </w:pPr>
            <w:r>
              <w:rPr>
                <w:sz w:val="20"/>
                <w:szCs w:val="20"/>
              </w:rPr>
              <w:t>3600</w:t>
            </w:r>
          </w:p>
        </w:tc>
        <w:tc>
          <w:tcPr>
            <w:tcW w:w="628" w:type="pct"/>
          </w:tcPr>
          <w:p w:rsidR="00755D0F" w:rsidRPr="000A3506" w:rsidRDefault="00755D0F" w:rsidP="00755D0F">
            <w:pPr>
              <w:jc w:val="both"/>
              <w:rPr>
                <w:sz w:val="20"/>
                <w:szCs w:val="20"/>
              </w:rPr>
            </w:pPr>
          </w:p>
        </w:tc>
      </w:tr>
      <w:tr w:rsidR="00755D0F" w:rsidRPr="000A3506" w:rsidTr="00755D0F">
        <w:trPr>
          <w:trHeight w:val="71"/>
        </w:trPr>
        <w:tc>
          <w:tcPr>
            <w:tcW w:w="420" w:type="pct"/>
          </w:tcPr>
          <w:p w:rsidR="00755D0F" w:rsidRPr="000A3506" w:rsidRDefault="00755D0F" w:rsidP="00755D0F">
            <w:pPr>
              <w:numPr>
                <w:ilvl w:val="0"/>
                <w:numId w:val="1"/>
              </w:numPr>
              <w:tabs>
                <w:tab w:val="left" w:pos="180"/>
                <w:tab w:val="left" w:pos="525"/>
              </w:tabs>
              <w:jc w:val="center"/>
              <w:rPr>
                <w:sz w:val="20"/>
                <w:szCs w:val="20"/>
              </w:rPr>
            </w:pPr>
          </w:p>
        </w:tc>
        <w:tc>
          <w:tcPr>
            <w:tcW w:w="3164" w:type="pct"/>
            <w:vAlign w:val="center"/>
          </w:tcPr>
          <w:p w:rsidR="00755D0F" w:rsidRPr="000A3506" w:rsidRDefault="00755D0F" w:rsidP="00755D0F">
            <w:pPr>
              <w:jc w:val="both"/>
              <w:rPr>
                <w:sz w:val="20"/>
                <w:szCs w:val="20"/>
              </w:rPr>
            </w:pPr>
            <w:r w:rsidRPr="000A3506">
              <w:rPr>
                <w:b/>
                <w:sz w:val="20"/>
                <w:szCs w:val="20"/>
              </w:rPr>
              <w:t>Flip Chart:</w:t>
            </w:r>
            <w:r w:rsidRPr="000A3506">
              <w:rPr>
                <w:sz w:val="20"/>
                <w:szCs w:val="20"/>
              </w:rPr>
              <w:t xml:space="preserve"> 650 x 1000mm (W x H)</w:t>
            </w:r>
          </w:p>
        </w:tc>
        <w:tc>
          <w:tcPr>
            <w:tcW w:w="788" w:type="pct"/>
          </w:tcPr>
          <w:p w:rsidR="00755D0F" w:rsidRPr="000A3506" w:rsidRDefault="00755D0F" w:rsidP="00755D0F">
            <w:pPr>
              <w:jc w:val="center"/>
              <w:rPr>
                <w:sz w:val="20"/>
                <w:szCs w:val="20"/>
              </w:rPr>
            </w:pPr>
            <w:r>
              <w:rPr>
                <w:sz w:val="20"/>
                <w:szCs w:val="20"/>
              </w:rPr>
              <w:t>1850</w:t>
            </w:r>
          </w:p>
        </w:tc>
        <w:tc>
          <w:tcPr>
            <w:tcW w:w="628" w:type="pct"/>
          </w:tcPr>
          <w:p w:rsidR="00755D0F" w:rsidRPr="000A3506" w:rsidRDefault="00755D0F" w:rsidP="00755D0F">
            <w:pPr>
              <w:jc w:val="both"/>
              <w:rPr>
                <w:sz w:val="20"/>
                <w:szCs w:val="20"/>
              </w:rPr>
            </w:pPr>
          </w:p>
        </w:tc>
      </w:tr>
      <w:tr w:rsidR="00755D0F" w:rsidRPr="000A3506" w:rsidTr="00755D0F">
        <w:trPr>
          <w:trHeight w:val="71"/>
        </w:trPr>
        <w:tc>
          <w:tcPr>
            <w:tcW w:w="420" w:type="pct"/>
          </w:tcPr>
          <w:p w:rsidR="00755D0F" w:rsidRPr="000A3506" w:rsidRDefault="00755D0F" w:rsidP="00755D0F">
            <w:pPr>
              <w:numPr>
                <w:ilvl w:val="0"/>
                <w:numId w:val="1"/>
              </w:numPr>
              <w:tabs>
                <w:tab w:val="left" w:pos="180"/>
                <w:tab w:val="left" w:pos="525"/>
              </w:tabs>
              <w:jc w:val="center"/>
              <w:rPr>
                <w:sz w:val="20"/>
                <w:szCs w:val="20"/>
              </w:rPr>
            </w:pPr>
          </w:p>
        </w:tc>
        <w:tc>
          <w:tcPr>
            <w:tcW w:w="3164" w:type="pct"/>
            <w:vAlign w:val="center"/>
          </w:tcPr>
          <w:p w:rsidR="00755D0F" w:rsidRPr="000A3506" w:rsidRDefault="00755D0F" w:rsidP="00755D0F">
            <w:pPr>
              <w:jc w:val="both"/>
              <w:rPr>
                <w:sz w:val="20"/>
                <w:szCs w:val="20"/>
              </w:rPr>
            </w:pPr>
            <w:r w:rsidRPr="000A3506">
              <w:rPr>
                <w:b/>
                <w:sz w:val="20"/>
                <w:szCs w:val="20"/>
              </w:rPr>
              <w:t>Banner Tap:</w:t>
            </w:r>
            <w:r w:rsidRPr="000A3506">
              <w:rPr>
                <w:sz w:val="20"/>
                <w:szCs w:val="20"/>
              </w:rPr>
              <w:t xml:space="preserve"> Single Sided Banner Tape which can create a strong finished banner of any length. </w:t>
            </w:r>
          </w:p>
        </w:tc>
        <w:tc>
          <w:tcPr>
            <w:tcW w:w="788" w:type="pct"/>
          </w:tcPr>
          <w:p w:rsidR="00755D0F" w:rsidRPr="000A3506" w:rsidRDefault="00755D0F" w:rsidP="00755D0F">
            <w:pPr>
              <w:jc w:val="center"/>
              <w:rPr>
                <w:sz w:val="20"/>
                <w:szCs w:val="20"/>
              </w:rPr>
            </w:pPr>
            <w:r>
              <w:rPr>
                <w:sz w:val="20"/>
                <w:szCs w:val="20"/>
              </w:rPr>
              <w:t>350</w:t>
            </w:r>
          </w:p>
        </w:tc>
        <w:tc>
          <w:tcPr>
            <w:tcW w:w="628" w:type="pct"/>
          </w:tcPr>
          <w:p w:rsidR="00755D0F" w:rsidRPr="000A3506" w:rsidRDefault="00755D0F" w:rsidP="00755D0F">
            <w:pPr>
              <w:jc w:val="both"/>
              <w:rPr>
                <w:sz w:val="20"/>
                <w:szCs w:val="20"/>
              </w:rPr>
            </w:pPr>
          </w:p>
        </w:tc>
      </w:tr>
      <w:tr w:rsidR="00755D0F" w:rsidRPr="000A3506" w:rsidTr="00755D0F">
        <w:trPr>
          <w:trHeight w:val="71"/>
        </w:trPr>
        <w:tc>
          <w:tcPr>
            <w:tcW w:w="420" w:type="pct"/>
          </w:tcPr>
          <w:p w:rsidR="00755D0F" w:rsidRPr="000A3506" w:rsidRDefault="00755D0F" w:rsidP="00755D0F">
            <w:pPr>
              <w:numPr>
                <w:ilvl w:val="0"/>
                <w:numId w:val="1"/>
              </w:numPr>
              <w:tabs>
                <w:tab w:val="left" w:pos="180"/>
                <w:tab w:val="left" w:pos="525"/>
              </w:tabs>
              <w:jc w:val="center"/>
              <w:rPr>
                <w:sz w:val="20"/>
                <w:szCs w:val="20"/>
              </w:rPr>
            </w:pPr>
          </w:p>
        </w:tc>
        <w:tc>
          <w:tcPr>
            <w:tcW w:w="3164" w:type="pct"/>
            <w:vAlign w:val="center"/>
          </w:tcPr>
          <w:p w:rsidR="00755D0F" w:rsidRPr="000A3506" w:rsidRDefault="00755D0F" w:rsidP="00755D0F">
            <w:pPr>
              <w:jc w:val="both"/>
              <w:rPr>
                <w:sz w:val="20"/>
                <w:szCs w:val="20"/>
              </w:rPr>
            </w:pPr>
            <w:r w:rsidRPr="000A3506">
              <w:rPr>
                <w:b/>
                <w:sz w:val="20"/>
                <w:szCs w:val="20"/>
              </w:rPr>
              <w:t>Masking Tap:</w:t>
            </w:r>
            <w:r>
              <w:rPr>
                <w:b/>
                <w:sz w:val="20"/>
                <w:szCs w:val="20"/>
              </w:rPr>
              <w:t xml:space="preserve"> </w:t>
            </w:r>
            <w:r w:rsidRPr="00B64AA4">
              <w:rPr>
                <w:sz w:val="20"/>
                <w:szCs w:val="20"/>
              </w:rPr>
              <w:t>W</w:t>
            </w:r>
            <w:r>
              <w:rPr>
                <w:sz w:val="20"/>
                <w:szCs w:val="20"/>
              </w:rPr>
              <w:t>ith single-sided tapes and films, only one side is coated with adhesive.</w:t>
            </w:r>
          </w:p>
        </w:tc>
        <w:tc>
          <w:tcPr>
            <w:tcW w:w="788" w:type="pct"/>
          </w:tcPr>
          <w:p w:rsidR="00755D0F" w:rsidRPr="000A3506" w:rsidRDefault="00755D0F" w:rsidP="00755D0F">
            <w:pPr>
              <w:jc w:val="center"/>
              <w:rPr>
                <w:sz w:val="20"/>
                <w:szCs w:val="20"/>
              </w:rPr>
            </w:pPr>
            <w:r>
              <w:rPr>
                <w:sz w:val="20"/>
                <w:szCs w:val="20"/>
              </w:rPr>
              <w:t>550</w:t>
            </w:r>
          </w:p>
        </w:tc>
        <w:tc>
          <w:tcPr>
            <w:tcW w:w="628" w:type="pct"/>
          </w:tcPr>
          <w:p w:rsidR="00755D0F" w:rsidRPr="000A3506" w:rsidRDefault="00755D0F" w:rsidP="00755D0F">
            <w:pPr>
              <w:jc w:val="both"/>
              <w:rPr>
                <w:sz w:val="20"/>
                <w:szCs w:val="20"/>
              </w:rPr>
            </w:pPr>
          </w:p>
        </w:tc>
      </w:tr>
      <w:tr w:rsidR="00755D0F" w:rsidRPr="000A3506" w:rsidTr="00755D0F">
        <w:trPr>
          <w:trHeight w:val="71"/>
        </w:trPr>
        <w:tc>
          <w:tcPr>
            <w:tcW w:w="420" w:type="pct"/>
          </w:tcPr>
          <w:p w:rsidR="00755D0F" w:rsidRPr="000A3506" w:rsidRDefault="00755D0F" w:rsidP="00755D0F">
            <w:pPr>
              <w:numPr>
                <w:ilvl w:val="0"/>
                <w:numId w:val="1"/>
              </w:numPr>
              <w:tabs>
                <w:tab w:val="left" w:pos="180"/>
                <w:tab w:val="left" w:pos="525"/>
              </w:tabs>
              <w:jc w:val="center"/>
              <w:rPr>
                <w:sz w:val="20"/>
                <w:szCs w:val="20"/>
              </w:rPr>
            </w:pPr>
          </w:p>
        </w:tc>
        <w:tc>
          <w:tcPr>
            <w:tcW w:w="3164" w:type="pct"/>
            <w:vAlign w:val="center"/>
          </w:tcPr>
          <w:p w:rsidR="00755D0F" w:rsidRPr="000A3506" w:rsidRDefault="00755D0F" w:rsidP="00755D0F">
            <w:pPr>
              <w:jc w:val="both"/>
              <w:rPr>
                <w:sz w:val="20"/>
                <w:szCs w:val="20"/>
              </w:rPr>
            </w:pPr>
            <w:r w:rsidRPr="000A3506">
              <w:rPr>
                <w:b/>
                <w:sz w:val="20"/>
                <w:szCs w:val="20"/>
              </w:rPr>
              <w:t>Permanent Marker:</w:t>
            </w:r>
            <w:r w:rsidRPr="000A3506">
              <w:rPr>
                <w:sz w:val="20"/>
                <w:szCs w:val="20"/>
              </w:rPr>
              <w:t xml:space="preserve">  Must be Fast drying, Smudge Proof, Light fast, Water Proof and required in variet</w:t>
            </w:r>
            <w:r>
              <w:rPr>
                <w:sz w:val="20"/>
                <w:szCs w:val="20"/>
              </w:rPr>
              <w:t>y</w:t>
            </w:r>
            <w:r w:rsidRPr="000A3506">
              <w:rPr>
                <w:sz w:val="20"/>
                <w:szCs w:val="20"/>
              </w:rPr>
              <w:t xml:space="preserve"> of </w:t>
            </w:r>
            <w:proofErr w:type="spellStart"/>
            <w:r w:rsidRPr="000A3506">
              <w:rPr>
                <w:sz w:val="20"/>
                <w:szCs w:val="20"/>
              </w:rPr>
              <w:t>colours</w:t>
            </w:r>
            <w:proofErr w:type="spellEnd"/>
            <w:r w:rsidRPr="000A3506">
              <w:rPr>
                <w:sz w:val="20"/>
                <w:szCs w:val="20"/>
              </w:rPr>
              <w:t>.</w:t>
            </w:r>
          </w:p>
        </w:tc>
        <w:tc>
          <w:tcPr>
            <w:tcW w:w="788" w:type="pct"/>
          </w:tcPr>
          <w:p w:rsidR="00755D0F" w:rsidRPr="000A3506" w:rsidRDefault="00755D0F" w:rsidP="00755D0F">
            <w:pPr>
              <w:jc w:val="center"/>
              <w:rPr>
                <w:sz w:val="20"/>
                <w:szCs w:val="20"/>
              </w:rPr>
            </w:pPr>
            <w:r>
              <w:rPr>
                <w:sz w:val="20"/>
                <w:szCs w:val="20"/>
              </w:rPr>
              <w:t>200</w:t>
            </w:r>
          </w:p>
        </w:tc>
        <w:tc>
          <w:tcPr>
            <w:tcW w:w="628" w:type="pct"/>
          </w:tcPr>
          <w:p w:rsidR="00755D0F" w:rsidRPr="000A3506" w:rsidRDefault="00755D0F" w:rsidP="00755D0F">
            <w:pPr>
              <w:jc w:val="both"/>
              <w:rPr>
                <w:sz w:val="20"/>
                <w:szCs w:val="20"/>
              </w:rPr>
            </w:pPr>
          </w:p>
        </w:tc>
      </w:tr>
      <w:tr w:rsidR="00755D0F" w:rsidRPr="000A3506" w:rsidTr="00755D0F">
        <w:trPr>
          <w:trHeight w:val="71"/>
        </w:trPr>
        <w:tc>
          <w:tcPr>
            <w:tcW w:w="420" w:type="pct"/>
          </w:tcPr>
          <w:p w:rsidR="00755D0F" w:rsidRPr="000A3506" w:rsidRDefault="00755D0F" w:rsidP="00755D0F">
            <w:pPr>
              <w:numPr>
                <w:ilvl w:val="0"/>
                <w:numId w:val="1"/>
              </w:numPr>
              <w:tabs>
                <w:tab w:val="left" w:pos="180"/>
                <w:tab w:val="left" w:pos="525"/>
              </w:tabs>
              <w:jc w:val="center"/>
              <w:rPr>
                <w:sz w:val="20"/>
                <w:szCs w:val="20"/>
              </w:rPr>
            </w:pPr>
          </w:p>
        </w:tc>
        <w:tc>
          <w:tcPr>
            <w:tcW w:w="3164" w:type="pct"/>
            <w:vAlign w:val="center"/>
          </w:tcPr>
          <w:p w:rsidR="00755D0F" w:rsidRPr="000A3506" w:rsidRDefault="00755D0F" w:rsidP="00755D0F">
            <w:pPr>
              <w:jc w:val="both"/>
              <w:rPr>
                <w:sz w:val="20"/>
                <w:szCs w:val="20"/>
              </w:rPr>
            </w:pPr>
            <w:r w:rsidRPr="000A3506">
              <w:rPr>
                <w:b/>
                <w:sz w:val="20"/>
                <w:szCs w:val="20"/>
              </w:rPr>
              <w:t>Erasable Markers:</w:t>
            </w:r>
            <w:r w:rsidRPr="000A3506">
              <w:rPr>
                <w:sz w:val="20"/>
                <w:szCs w:val="20"/>
                <w:shd w:val="clear" w:color="auto" w:fill="FFFFFF"/>
              </w:rPr>
              <w:t xml:space="preserve"> high-quality marker designed for </w:t>
            </w:r>
            <w:r w:rsidRPr="000A3506">
              <w:rPr>
                <w:rStyle w:val="Strong"/>
                <w:b w:val="0"/>
                <w:sz w:val="20"/>
                <w:szCs w:val="20"/>
                <w:shd w:val="clear" w:color="auto" w:fill="FFFFFF"/>
              </w:rPr>
              <w:t>smooth, clear, and highly visible writing</w:t>
            </w:r>
            <w:r w:rsidRPr="000A3506">
              <w:rPr>
                <w:sz w:val="20"/>
                <w:szCs w:val="20"/>
                <w:shd w:val="clear" w:color="auto" w:fill="FFFFFF"/>
              </w:rPr>
              <w:t> on whiteboards, glass, and other non-porous surfaces. </w:t>
            </w:r>
          </w:p>
        </w:tc>
        <w:tc>
          <w:tcPr>
            <w:tcW w:w="788" w:type="pct"/>
          </w:tcPr>
          <w:p w:rsidR="00755D0F" w:rsidRDefault="00755D0F" w:rsidP="00755D0F">
            <w:pPr>
              <w:jc w:val="center"/>
              <w:rPr>
                <w:sz w:val="20"/>
                <w:szCs w:val="20"/>
              </w:rPr>
            </w:pPr>
          </w:p>
          <w:p w:rsidR="00755D0F" w:rsidRPr="000A3506" w:rsidRDefault="00755D0F" w:rsidP="00755D0F">
            <w:pPr>
              <w:jc w:val="center"/>
              <w:rPr>
                <w:sz w:val="20"/>
                <w:szCs w:val="20"/>
              </w:rPr>
            </w:pPr>
            <w:r>
              <w:rPr>
                <w:sz w:val="20"/>
                <w:szCs w:val="20"/>
              </w:rPr>
              <w:t>200</w:t>
            </w:r>
          </w:p>
        </w:tc>
        <w:tc>
          <w:tcPr>
            <w:tcW w:w="628" w:type="pct"/>
          </w:tcPr>
          <w:p w:rsidR="00755D0F" w:rsidRPr="000A3506" w:rsidRDefault="00755D0F" w:rsidP="00755D0F">
            <w:pPr>
              <w:jc w:val="both"/>
              <w:rPr>
                <w:sz w:val="20"/>
                <w:szCs w:val="20"/>
              </w:rPr>
            </w:pPr>
          </w:p>
        </w:tc>
      </w:tr>
      <w:tr w:rsidR="00755D0F" w:rsidRPr="000A3506" w:rsidTr="00755D0F">
        <w:trPr>
          <w:trHeight w:val="71"/>
        </w:trPr>
        <w:tc>
          <w:tcPr>
            <w:tcW w:w="420" w:type="pct"/>
          </w:tcPr>
          <w:p w:rsidR="00755D0F" w:rsidRPr="000A3506" w:rsidRDefault="00755D0F" w:rsidP="00755D0F">
            <w:pPr>
              <w:numPr>
                <w:ilvl w:val="0"/>
                <w:numId w:val="1"/>
              </w:numPr>
              <w:tabs>
                <w:tab w:val="left" w:pos="180"/>
                <w:tab w:val="left" w:pos="525"/>
              </w:tabs>
              <w:jc w:val="center"/>
              <w:rPr>
                <w:sz w:val="20"/>
                <w:szCs w:val="20"/>
              </w:rPr>
            </w:pPr>
          </w:p>
        </w:tc>
        <w:tc>
          <w:tcPr>
            <w:tcW w:w="3164" w:type="pct"/>
            <w:vAlign w:val="center"/>
          </w:tcPr>
          <w:p w:rsidR="00755D0F" w:rsidRPr="000A3506" w:rsidRDefault="00755D0F" w:rsidP="00755D0F">
            <w:pPr>
              <w:jc w:val="both"/>
              <w:rPr>
                <w:sz w:val="20"/>
                <w:szCs w:val="20"/>
              </w:rPr>
            </w:pPr>
            <w:r w:rsidRPr="000A3506">
              <w:rPr>
                <w:b/>
                <w:sz w:val="20"/>
                <w:szCs w:val="20"/>
              </w:rPr>
              <w:t>Scissors:</w:t>
            </w:r>
            <w:r w:rsidRPr="000A3506">
              <w:rPr>
                <w:sz w:val="20"/>
                <w:szCs w:val="20"/>
                <w:shd w:val="clear" w:color="auto" w:fill="FFFFFF"/>
              </w:rPr>
              <w:t xml:space="preserve"> have a sharp edge and a pointed tip, which makes them ideal for cutting thin sheets of paper. They are generally smaller than other scissors, making them easier to handle and control.</w:t>
            </w:r>
          </w:p>
        </w:tc>
        <w:tc>
          <w:tcPr>
            <w:tcW w:w="788" w:type="pct"/>
          </w:tcPr>
          <w:p w:rsidR="00755D0F" w:rsidRDefault="00755D0F" w:rsidP="00755D0F">
            <w:pPr>
              <w:jc w:val="center"/>
              <w:rPr>
                <w:sz w:val="20"/>
                <w:szCs w:val="20"/>
              </w:rPr>
            </w:pPr>
          </w:p>
          <w:p w:rsidR="00755D0F" w:rsidRPr="000A3506" w:rsidRDefault="00755D0F" w:rsidP="00755D0F">
            <w:pPr>
              <w:jc w:val="center"/>
              <w:rPr>
                <w:sz w:val="20"/>
                <w:szCs w:val="20"/>
              </w:rPr>
            </w:pPr>
            <w:r>
              <w:rPr>
                <w:sz w:val="20"/>
                <w:szCs w:val="20"/>
              </w:rPr>
              <w:t>680</w:t>
            </w:r>
          </w:p>
        </w:tc>
        <w:tc>
          <w:tcPr>
            <w:tcW w:w="628" w:type="pct"/>
          </w:tcPr>
          <w:p w:rsidR="00755D0F" w:rsidRPr="000A3506" w:rsidRDefault="00755D0F" w:rsidP="00755D0F">
            <w:pPr>
              <w:jc w:val="both"/>
              <w:rPr>
                <w:sz w:val="20"/>
                <w:szCs w:val="20"/>
              </w:rPr>
            </w:pPr>
          </w:p>
        </w:tc>
      </w:tr>
      <w:tr w:rsidR="00755D0F" w:rsidRPr="000A3506" w:rsidTr="00755D0F">
        <w:trPr>
          <w:trHeight w:val="71"/>
        </w:trPr>
        <w:tc>
          <w:tcPr>
            <w:tcW w:w="420" w:type="pct"/>
          </w:tcPr>
          <w:p w:rsidR="00755D0F" w:rsidRPr="000A3506" w:rsidRDefault="00755D0F" w:rsidP="00755D0F">
            <w:pPr>
              <w:numPr>
                <w:ilvl w:val="0"/>
                <w:numId w:val="1"/>
              </w:numPr>
              <w:tabs>
                <w:tab w:val="left" w:pos="180"/>
                <w:tab w:val="left" w:pos="525"/>
              </w:tabs>
              <w:jc w:val="center"/>
              <w:rPr>
                <w:sz w:val="20"/>
                <w:szCs w:val="20"/>
              </w:rPr>
            </w:pPr>
          </w:p>
        </w:tc>
        <w:tc>
          <w:tcPr>
            <w:tcW w:w="3164" w:type="pct"/>
            <w:vAlign w:val="center"/>
          </w:tcPr>
          <w:p w:rsidR="00755D0F" w:rsidRPr="000A3506" w:rsidRDefault="00755D0F" w:rsidP="00755D0F">
            <w:pPr>
              <w:jc w:val="both"/>
              <w:rPr>
                <w:sz w:val="20"/>
                <w:szCs w:val="20"/>
              </w:rPr>
            </w:pPr>
            <w:r w:rsidRPr="000A3506">
              <w:rPr>
                <w:b/>
                <w:sz w:val="20"/>
                <w:szCs w:val="20"/>
              </w:rPr>
              <w:t>Color Pencil:</w:t>
            </w:r>
            <w:r w:rsidRPr="000A3506">
              <w:rPr>
                <w:sz w:val="20"/>
                <w:szCs w:val="20"/>
              </w:rPr>
              <w:t xml:space="preserve"> </w:t>
            </w:r>
            <w:r w:rsidRPr="000A3506">
              <w:rPr>
                <w:sz w:val="20"/>
                <w:szCs w:val="20"/>
                <w:shd w:val="clear" w:color="auto" w:fill="FFFFFF"/>
              </w:rPr>
              <w:t>Vibrant colors and creamy textures, great for blending and covering large areas.</w:t>
            </w:r>
          </w:p>
        </w:tc>
        <w:tc>
          <w:tcPr>
            <w:tcW w:w="788" w:type="pct"/>
          </w:tcPr>
          <w:p w:rsidR="00755D0F" w:rsidRPr="000A3506" w:rsidRDefault="00755D0F" w:rsidP="00755D0F">
            <w:pPr>
              <w:jc w:val="center"/>
              <w:rPr>
                <w:sz w:val="20"/>
                <w:szCs w:val="20"/>
              </w:rPr>
            </w:pPr>
            <w:r>
              <w:rPr>
                <w:sz w:val="20"/>
                <w:szCs w:val="20"/>
              </w:rPr>
              <w:t>400</w:t>
            </w:r>
          </w:p>
        </w:tc>
        <w:tc>
          <w:tcPr>
            <w:tcW w:w="628" w:type="pct"/>
          </w:tcPr>
          <w:p w:rsidR="00755D0F" w:rsidRPr="000A3506" w:rsidRDefault="00755D0F" w:rsidP="00755D0F">
            <w:pPr>
              <w:jc w:val="both"/>
              <w:rPr>
                <w:sz w:val="20"/>
                <w:szCs w:val="20"/>
              </w:rPr>
            </w:pPr>
          </w:p>
        </w:tc>
      </w:tr>
    </w:tbl>
    <w:bookmarkEnd w:id="1"/>
    <w:p w:rsidR="00DB71B2" w:rsidRPr="00DB71B2" w:rsidRDefault="00DB71B2" w:rsidP="00DB71B2">
      <w:pPr>
        <w:jc w:val="center"/>
        <w:rPr>
          <w:b/>
          <w:sz w:val="40"/>
          <w:szCs w:val="40"/>
        </w:rPr>
      </w:pPr>
      <w:r w:rsidRPr="00DB71B2">
        <w:rPr>
          <w:b/>
          <w:sz w:val="40"/>
          <w:szCs w:val="40"/>
        </w:rPr>
        <w:t>PRICE QUOTATION</w:t>
      </w:r>
    </w:p>
    <w:p w:rsidR="00262527" w:rsidRDefault="00262527"/>
    <w:sectPr w:rsidR="002625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B20" w:rsidRDefault="00203B20" w:rsidP="00206F77">
      <w:r>
        <w:separator/>
      </w:r>
    </w:p>
  </w:endnote>
  <w:endnote w:type="continuationSeparator" w:id="0">
    <w:p w:rsidR="00203B20" w:rsidRDefault="00203B20" w:rsidP="0020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B20" w:rsidRDefault="00203B20" w:rsidP="00206F77">
      <w:r>
        <w:separator/>
      </w:r>
    </w:p>
  </w:footnote>
  <w:footnote w:type="continuationSeparator" w:id="0">
    <w:p w:rsidR="00203B20" w:rsidRDefault="00203B20" w:rsidP="00206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31B"/>
    <w:multiLevelType w:val="hybridMultilevel"/>
    <w:tmpl w:val="F9D02262"/>
    <w:lvl w:ilvl="0" w:tplc="8C0878C6">
      <w:start w:val="1"/>
      <w:numFmt w:val="bullet"/>
      <w:lvlText w:val="●"/>
      <w:lvlJc w:val="left"/>
    </w:lvl>
    <w:lvl w:ilvl="1" w:tplc="9E662FEE">
      <w:numFmt w:val="decimal"/>
      <w:lvlText w:val=""/>
      <w:lvlJc w:val="left"/>
    </w:lvl>
    <w:lvl w:ilvl="2" w:tplc="4D841A96">
      <w:numFmt w:val="decimal"/>
      <w:lvlText w:val=""/>
      <w:lvlJc w:val="left"/>
    </w:lvl>
    <w:lvl w:ilvl="3" w:tplc="323455F4">
      <w:numFmt w:val="decimal"/>
      <w:lvlText w:val=""/>
      <w:lvlJc w:val="left"/>
    </w:lvl>
    <w:lvl w:ilvl="4" w:tplc="C32E6E44">
      <w:numFmt w:val="decimal"/>
      <w:lvlText w:val=""/>
      <w:lvlJc w:val="left"/>
    </w:lvl>
    <w:lvl w:ilvl="5" w:tplc="B28AEA94">
      <w:numFmt w:val="decimal"/>
      <w:lvlText w:val=""/>
      <w:lvlJc w:val="left"/>
    </w:lvl>
    <w:lvl w:ilvl="6" w:tplc="C2E8F170">
      <w:numFmt w:val="decimal"/>
      <w:lvlText w:val=""/>
      <w:lvlJc w:val="left"/>
    </w:lvl>
    <w:lvl w:ilvl="7" w:tplc="F8DA51B4">
      <w:numFmt w:val="decimal"/>
      <w:lvlText w:val=""/>
      <w:lvlJc w:val="left"/>
    </w:lvl>
    <w:lvl w:ilvl="8" w:tplc="B7BAE7EC">
      <w:numFmt w:val="decimal"/>
      <w:lvlText w:val=""/>
      <w:lvlJc w:val="left"/>
    </w:lvl>
  </w:abstractNum>
  <w:abstractNum w:abstractNumId="1" w15:restartNumberingAfterBreak="0">
    <w:nsid w:val="12200854"/>
    <w:multiLevelType w:val="hybridMultilevel"/>
    <w:tmpl w:val="9BF6BB6E"/>
    <w:lvl w:ilvl="0" w:tplc="EA2ACB10">
      <w:start w:val="1"/>
      <w:numFmt w:val="bullet"/>
      <w:lvlText w:val="●"/>
      <w:lvlJc w:val="left"/>
    </w:lvl>
    <w:lvl w:ilvl="1" w:tplc="9D020402">
      <w:numFmt w:val="decimal"/>
      <w:lvlText w:val=""/>
      <w:lvlJc w:val="left"/>
    </w:lvl>
    <w:lvl w:ilvl="2" w:tplc="1C568B02">
      <w:numFmt w:val="decimal"/>
      <w:lvlText w:val=""/>
      <w:lvlJc w:val="left"/>
    </w:lvl>
    <w:lvl w:ilvl="3" w:tplc="3E9AF730">
      <w:numFmt w:val="decimal"/>
      <w:lvlText w:val=""/>
      <w:lvlJc w:val="left"/>
    </w:lvl>
    <w:lvl w:ilvl="4" w:tplc="AFACD892">
      <w:numFmt w:val="decimal"/>
      <w:lvlText w:val=""/>
      <w:lvlJc w:val="left"/>
    </w:lvl>
    <w:lvl w:ilvl="5" w:tplc="EE4EE0AC">
      <w:numFmt w:val="decimal"/>
      <w:lvlText w:val=""/>
      <w:lvlJc w:val="left"/>
    </w:lvl>
    <w:lvl w:ilvl="6" w:tplc="C91E04CA">
      <w:numFmt w:val="decimal"/>
      <w:lvlText w:val=""/>
      <w:lvlJc w:val="left"/>
    </w:lvl>
    <w:lvl w:ilvl="7" w:tplc="34D09A0E">
      <w:numFmt w:val="decimal"/>
      <w:lvlText w:val=""/>
      <w:lvlJc w:val="left"/>
    </w:lvl>
    <w:lvl w:ilvl="8" w:tplc="82EE55D0">
      <w:numFmt w:val="decimal"/>
      <w:lvlText w:val=""/>
      <w:lvlJc w:val="left"/>
    </w:lvl>
  </w:abstractNum>
  <w:abstractNum w:abstractNumId="2" w15:restartNumberingAfterBreak="0">
    <w:nsid w:val="4167605F"/>
    <w:multiLevelType w:val="hybridMultilevel"/>
    <w:tmpl w:val="F2B259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B127F8"/>
    <w:multiLevelType w:val="hybridMultilevel"/>
    <w:tmpl w:val="91A0514C"/>
    <w:lvl w:ilvl="0" w:tplc="5C688094">
      <w:start w:val="1"/>
      <w:numFmt w:val="bullet"/>
      <w:lvlText w:val="●"/>
      <w:lvlJc w:val="left"/>
    </w:lvl>
    <w:lvl w:ilvl="1" w:tplc="3342CC74">
      <w:numFmt w:val="decimal"/>
      <w:lvlText w:val=""/>
      <w:lvlJc w:val="left"/>
    </w:lvl>
    <w:lvl w:ilvl="2" w:tplc="19B6B5FA">
      <w:numFmt w:val="decimal"/>
      <w:lvlText w:val=""/>
      <w:lvlJc w:val="left"/>
    </w:lvl>
    <w:lvl w:ilvl="3" w:tplc="E57ECE5C">
      <w:numFmt w:val="decimal"/>
      <w:lvlText w:val=""/>
      <w:lvlJc w:val="left"/>
    </w:lvl>
    <w:lvl w:ilvl="4" w:tplc="225EEB88">
      <w:numFmt w:val="decimal"/>
      <w:lvlText w:val=""/>
      <w:lvlJc w:val="left"/>
    </w:lvl>
    <w:lvl w:ilvl="5" w:tplc="76307E3E">
      <w:numFmt w:val="decimal"/>
      <w:lvlText w:val=""/>
      <w:lvlJc w:val="left"/>
    </w:lvl>
    <w:lvl w:ilvl="6" w:tplc="78304A40">
      <w:numFmt w:val="decimal"/>
      <w:lvlText w:val=""/>
      <w:lvlJc w:val="left"/>
    </w:lvl>
    <w:lvl w:ilvl="7" w:tplc="DCD45240">
      <w:numFmt w:val="decimal"/>
      <w:lvlText w:val=""/>
      <w:lvlJc w:val="left"/>
    </w:lvl>
    <w:lvl w:ilvl="8" w:tplc="FBC66012">
      <w:numFmt w:val="decimal"/>
      <w:lvlText w:val=""/>
      <w:lvlJc w:val="left"/>
    </w:lvl>
  </w:abstractNum>
  <w:abstractNum w:abstractNumId="4" w15:restartNumberingAfterBreak="0">
    <w:nsid w:val="515F007C"/>
    <w:multiLevelType w:val="hybridMultilevel"/>
    <w:tmpl w:val="3ED02798"/>
    <w:lvl w:ilvl="0" w:tplc="55C4C49C">
      <w:start w:val="1"/>
      <w:numFmt w:val="bullet"/>
      <w:lvlText w:val="●"/>
      <w:lvlJc w:val="left"/>
    </w:lvl>
    <w:lvl w:ilvl="1" w:tplc="466647BC">
      <w:numFmt w:val="decimal"/>
      <w:lvlText w:val=""/>
      <w:lvlJc w:val="left"/>
    </w:lvl>
    <w:lvl w:ilvl="2" w:tplc="7DF83194">
      <w:numFmt w:val="decimal"/>
      <w:lvlText w:val=""/>
      <w:lvlJc w:val="left"/>
    </w:lvl>
    <w:lvl w:ilvl="3" w:tplc="5362716C">
      <w:numFmt w:val="decimal"/>
      <w:lvlText w:val=""/>
      <w:lvlJc w:val="left"/>
    </w:lvl>
    <w:lvl w:ilvl="4" w:tplc="C0F2B1E8">
      <w:numFmt w:val="decimal"/>
      <w:lvlText w:val=""/>
      <w:lvlJc w:val="left"/>
    </w:lvl>
    <w:lvl w:ilvl="5" w:tplc="86BEAEB2">
      <w:numFmt w:val="decimal"/>
      <w:lvlText w:val=""/>
      <w:lvlJc w:val="left"/>
    </w:lvl>
    <w:lvl w:ilvl="6" w:tplc="9208E770">
      <w:numFmt w:val="decimal"/>
      <w:lvlText w:val=""/>
      <w:lvlJc w:val="left"/>
    </w:lvl>
    <w:lvl w:ilvl="7" w:tplc="5A82B554">
      <w:numFmt w:val="decimal"/>
      <w:lvlText w:val=""/>
      <w:lvlJc w:val="left"/>
    </w:lvl>
    <w:lvl w:ilvl="8" w:tplc="EC3A1176">
      <w:numFmt w:val="decimal"/>
      <w:lvlText w:val=""/>
      <w:lvlJc w:val="left"/>
    </w:lvl>
  </w:abstractNum>
  <w:abstractNum w:abstractNumId="5" w15:restartNumberingAfterBreak="0">
    <w:nsid w:val="5BD062C2"/>
    <w:multiLevelType w:val="hybridMultilevel"/>
    <w:tmpl w:val="5B1E0492"/>
    <w:lvl w:ilvl="0" w:tplc="D16A7CF4">
      <w:start w:val="1"/>
      <w:numFmt w:val="bullet"/>
      <w:lvlText w:val="●"/>
      <w:lvlJc w:val="left"/>
    </w:lvl>
    <w:lvl w:ilvl="1" w:tplc="00CAC73A">
      <w:numFmt w:val="decimal"/>
      <w:lvlText w:val=""/>
      <w:lvlJc w:val="left"/>
    </w:lvl>
    <w:lvl w:ilvl="2" w:tplc="93689E5A">
      <w:numFmt w:val="decimal"/>
      <w:lvlText w:val=""/>
      <w:lvlJc w:val="left"/>
    </w:lvl>
    <w:lvl w:ilvl="3" w:tplc="49CC978A">
      <w:numFmt w:val="decimal"/>
      <w:lvlText w:val=""/>
      <w:lvlJc w:val="left"/>
    </w:lvl>
    <w:lvl w:ilvl="4" w:tplc="2892F558">
      <w:numFmt w:val="decimal"/>
      <w:lvlText w:val=""/>
      <w:lvlJc w:val="left"/>
    </w:lvl>
    <w:lvl w:ilvl="5" w:tplc="E9C4C3A6">
      <w:numFmt w:val="decimal"/>
      <w:lvlText w:val=""/>
      <w:lvlJc w:val="left"/>
    </w:lvl>
    <w:lvl w:ilvl="6" w:tplc="718C95A2">
      <w:numFmt w:val="decimal"/>
      <w:lvlText w:val=""/>
      <w:lvlJc w:val="left"/>
    </w:lvl>
    <w:lvl w:ilvl="7" w:tplc="F69E97B6">
      <w:numFmt w:val="decimal"/>
      <w:lvlText w:val=""/>
      <w:lvlJc w:val="left"/>
    </w:lvl>
    <w:lvl w:ilvl="8" w:tplc="ABCE6BB0">
      <w:numFmt w:val="decimal"/>
      <w:lvlText w:val=""/>
      <w:lvlJc w:val="left"/>
    </w:lvl>
  </w:abstractNum>
  <w:abstractNum w:abstractNumId="6" w15:restartNumberingAfterBreak="0">
    <w:nsid w:val="7545E146"/>
    <w:multiLevelType w:val="hybridMultilevel"/>
    <w:tmpl w:val="E234A15C"/>
    <w:lvl w:ilvl="0" w:tplc="B2F0107C">
      <w:start w:val="1"/>
      <w:numFmt w:val="bullet"/>
      <w:lvlText w:val="●"/>
      <w:lvlJc w:val="left"/>
    </w:lvl>
    <w:lvl w:ilvl="1" w:tplc="E94CC282">
      <w:numFmt w:val="decimal"/>
      <w:lvlText w:val=""/>
      <w:lvlJc w:val="left"/>
    </w:lvl>
    <w:lvl w:ilvl="2" w:tplc="9FB0ABE0">
      <w:numFmt w:val="decimal"/>
      <w:lvlText w:val=""/>
      <w:lvlJc w:val="left"/>
    </w:lvl>
    <w:lvl w:ilvl="3" w:tplc="484CFFC4">
      <w:numFmt w:val="decimal"/>
      <w:lvlText w:val=""/>
      <w:lvlJc w:val="left"/>
    </w:lvl>
    <w:lvl w:ilvl="4" w:tplc="9A760C96">
      <w:numFmt w:val="decimal"/>
      <w:lvlText w:val=""/>
      <w:lvlJc w:val="left"/>
    </w:lvl>
    <w:lvl w:ilvl="5" w:tplc="5972E3E0">
      <w:numFmt w:val="decimal"/>
      <w:lvlText w:val=""/>
      <w:lvlJc w:val="left"/>
    </w:lvl>
    <w:lvl w:ilvl="6" w:tplc="B9B87586">
      <w:numFmt w:val="decimal"/>
      <w:lvlText w:val=""/>
      <w:lvlJc w:val="left"/>
    </w:lvl>
    <w:lvl w:ilvl="7" w:tplc="2982B68E">
      <w:numFmt w:val="decimal"/>
      <w:lvlText w:val=""/>
      <w:lvlJc w:val="left"/>
    </w:lvl>
    <w:lvl w:ilvl="8" w:tplc="D4FEB166">
      <w:numFmt w:val="decimal"/>
      <w:lvlText w:val=""/>
      <w:lvlJc w:val="left"/>
    </w:lvl>
  </w:abstractNum>
  <w:abstractNum w:abstractNumId="7" w15:restartNumberingAfterBreak="0">
    <w:nsid w:val="79E2A9E3"/>
    <w:multiLevelType w:val="hybridMultilevel"/>
    <w:tmpl w:val="996EBB0C"/>
    <w:lvl w:ilvl="0" w:tplc="37288946">
      <w:start w:val="1"/>
      <w:numFmt w:val="bullet"/>
      <w:lvlText w:val="●"/>
      <w:lvlJc w:val="left"/>
    </w:lvl>
    <w:lvl w:ilvl="1" w:tplc="BB0C41BA">
      <w:numFmt w:val="decimal"/>
      <w:lvlText w:val=""/>
      <w:lvlJc w:val="left"/>
    </w:lvl>
    <w:lvl w:ilvl="2" w:tplc="CA4E91B8">
      <w:numFmt w:val="decimal"/>
      <w:lvlText w:val=""/>
      <w:lvlJc w:val="left"/>
    </w:lvl>
    <w:lvl w:ilvl="3" w:tplc="D2440CDC">
      <w:numFmt w:val="decimal"/>
      <w:lvlText w:val=""/>
      <w:lvlJc w:val="left"/>
    </w:lvl>
    <w:lvl w:ilvl="4" w:tplc="B68A7220">
      <w:numFmt w:val="decimal"/>
      <w:lvlText w:val=""/>
      <w:lvlJc w:val="left"/>
    </w:lvl>
    <w:lvl w:ilvl="5" w:tplc="CB925C88">
      <w:numFmt w:val="decimal"/>
      <w:lvlText w:val=""/>
      <w:lvlJc w:val="left"/>
    </w:lvl>
    <w:lvl w:ilvl="6" w:tplc="39862BFE">
      <w:numFmt w:val="decimal"/>
      <w:lvlText w:val=""/>
      <w:lvlJc w:val="left"/>
    </w:lvl>
    <w:lvl w:ilvl="7" w:tplc="08CAA930">
      <w:numFmt w:val="decimal"/>
      <w:lvlText w:val=""/>
      <w:lvlJc w:val="left"/>
    </w:lvl>
    <w:lvl w:ilvl="8" w:tplc="2B220C80">
      <w:numFmt w:val="decimal"/>
      <w:lvlText w:val=""/>
      <w:lvlJc w:val="left"/>
    </w:lvl>
  </w:abstractNum>
  <w:num w:numId="1">
    <w:abstractNumId w:val="2"/>
  </w:num>
  <w:num w:numId="2">
    <w:abstractNumId w:val="7"/>
  </w:num>
  <w:num w:numId="3">
    <w:abstractNumId w:val="6"/>
  </w:num>
  <w:num w:numId="4">
    <w:abstractNumId w:val="4"/>
  </w:num>
  <w:num w:numId="5">
    <w:abstractNumId w:val="5"/>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F77"/>
    <w:rsid w:val="000A41A9"/>
    <w:rsid w:val="001030A1"/>
    <w:rsid w:val="00110329"/>
    <w:rsid w:val="00120043"/>
    <w:rsid w:val="001220A8"/>
    <w:rsid w:val="00146AC1"/>
    <w:rsid w:val="00203B20"/>
    <w:rsid w:val="00206F77"/>
    <w:rsid w:val="00262527"/>
    <w:rsid w:val="00325738"/>
    <w:rsid w:val="0033400A"/>
    <w:rsid w:val="003813D4"/>
    <w:rsid w:val="003961B6"/>
    <w:rsid w:val="003C18FA"/>
    <w:rsid w:val="00450E76"/>
    <w:rsid w:val="004522C1"/>
    <w:rsid w:val="00530A9D"/>
    <w:rsid w:val="0054219B"/>
    <w:rsid w:val="006C0CA7"/>
    <w:rsid w:val="006D16E6"/>
    <w:rsid w:val="00706CDE"/>
    <w:rsid w:val="00755D0F"/>
    <w:rsid w:val="007B6880"/>
    <w:rsid w:val="008D1EAC"/>
    <w:rsid w:val="008D282D"/>
    <w:rsid w:val="008F7C53"/>
    <w:rsid w:val="00906B6C"/>
    <w:rsid w:val="009F3476"/>
    <w:rsid w:val="00A22B06"/>
    <w:rsid w:val="00B12B68"/>
    <w:rsid w:val="00B1691F"/>
    <w:rsid w:val="00C34292"/>
    <w:rsid w:val="00C42DEE"/>
    <w:rsid w:val="00C71C06"/>
    <w:rsid w:val="00D4706C"/>
    <w:rsid w:val="00DB71B2"/>
    <w:rsid w:val="00E50A8E"/>
    <w:rsid w:val="00E92595"/>
    <w:rsid w:val="00F67F9A"/>
    <w:rsid w:val="00F86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39F0F"/>
  <w15:chartTrackingRefBased/>
  <w15:docId w15:val="{A7F6688C-4BF6-48E9-B507-CF8272E3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6F77"/>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06F77"/>
    <w:rPr>
      <w:b/>
      <w:bCs/>
    </w:rPr>
  </w:style>
  <w:style w:type="paragraph" w:styleId="Header">
    <w:name w:val="header"/>
    <w:basedOn w:val="Normal"/>
    <w:link w:val="HeaderChar"/>
    <w:uiPriority w:val="99"/>
    <w:unhideWhenUsed/>
    <w:rsid w:val="00206F77"/>
    <w:pPr>
      <w:tabs>
        <w:tab w:val="center" w:pos="4680"/>
        <w:tab w:val="right" w:pos="9360"/>
      </w:tabs>
    </w:pPr>
  </w:style>
  <w:style w:type="character" w:customStyle="1" w:styleId="HeaderChar">
    <w:name w:val="Header Char"/>
    <w:basedOn w:val="DefaultParagraphFont"/>
    <w:link w:val="Header"/>
    <w:uiPriority w:val="99"/>
    <w:rsid w:val="00206F7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206F77"/>
    <w:pPr>
      <w:tabs>
        <w:tab w:val="center" w:pos="4680"/>
        <w:tab w:val="right" w:pos="9360"/>
      </w:tabs>
    </w:pPr>
  </w:style>
  <w:style w:type="character" w:customStyle="1" w:styleId="FooterChar">
    <w:name w:val="Footer Char"/>
    <w:basedOn w:val="DefaultParagraphFont"/>
    <w:link w:val="Footer"/>
    <w:uiPriority w:val="99"/>
    <w:rsid w:val="00206F77"/>
    <w:rPr>
      <w:rFonts w:ascii="Times New Roman" w:eastAsia="Times New Roman" w:hAnsi="Times New Roman" w:cs="Times New Roman"/>
      <w:kern w:val="0"/>
      <w:sz w:val="24"/>
      <w:szCs w:val="24"/>
      <w14:ligatures w14:val="none"/>
    </w:rPr>
  </w:style>
  <w:style w:type="table" w:styleId="TableGrid">
    <w:name w:val="Table Grid"/>
    <w:basedOn w:val="TableNormal"/>
    <w:uiPriority w:val="59"/>
    <w:unhideWhenUsed/>
    <w:rsid w:val="006C0CA7"/>
    <w:pPr>
      <w:spacing w:after="0" w:line="240" w:lineRule="auto"/>
    </w:pPr>
    <w:rPr>
      <w:rFonts w:ascii="Times New Roman" w:eastAsiaTheme="minorEastAsia"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282D"/>
    <w:pPr>
      <w:spacing w:after="0"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1030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CPD PITE</dc:creator>
  <cp:keywords/>
  <dc:description/>
  <cp:lastModifiedBy>CPD PITE</cp:lastModifiedBy>
  <cp:revision>32</cp:revision>
  <dcterms:created xsi:type="dcterms:W3CDTF">2025-05-16T09:40:00Z</dcterms:created>
  <dcterms:modified xsi:type="dcterms:W3CDTF">2025-05-23T10:40:00Z</dcterms:modified>
</cp:coreProperties>
</file>