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458" w:rsidRPr="00E304A8" w:rsidRDefault="00066458" w:rsidP="00066458">
      <w:pPr>
        <w:spacing w:line="340" w:lineRule="exact"/>
        <w:rPr>
          <w:sz w:val="24"/>
          <w:szCs w:val="24"/>
        </w:rPr>
      </w:pPr>
    </w:p>
    <w:p w:rsidR="00066458" w:rsidRDefault="00066458" w:rsidP="00066458">
      <w:pPr>
        <w:jc w:val="center"/>
        <w:rPr>
          <w:rFonts w:eastAsia="Times New Roman"/>
          <w:b/>
          <w:bCs/>
          <w:sz w:val="28"/>
          <w:szCs w:val="28"/>
        </w:rPr>
      </w:pPr>
      <w:r>
        <w:rPr>
          <w:rFonts w:eastAsia="Times New Roman"/>
          <w:b/>
          <w:bCs/>
          <w:sz w:val="28"/>
          <w:szCs w:val="28"/>
        </w:rPr>
        <w:t>QUOTATION</w:t>
      </w:r>
      <w:r w:rsidRPr="00E304A8">
        <w:rPr>
          <w:rFonts w:eastAsia="Times New Roman"/>
          <w:b/>
          <w:bCs/>
          <w:sz w:val="28"/>
          <w:szCs w:val="28"/>
        </w:rPr>
        <w:t xml:space="preserve"> APPLICATION FORM</w:t>
      </w:r>
    </w:p>
    <w:p w:rsidR="00066458" w:rsidRPr="00E304A8" w:rsidRDefault="00066458" w:rsidP="00066458">
      <w:pPr>
        <w:jc w:val="center"/>
        <w:rPr>
          <w:sz w:val="20"/>
          <w:szCs w:val="20"/>
        </w:rPr>
      </w:pPr>
    </w:p>
    <w:p w:rsidR="00066458" w:rsidRPr="00E304A8" w:rsidRDefault="00066458" w:rsidP="00066458">
      <w:pPr>
        <w:spacing w:line="20" w:lineRule="exact"/>
        <w:rPr>
          <w:sz w:val="24"/>
          <w:szCs w:val="24"/>
        </w:rPr>
      </w:pPr>
    </w:p>
    <w:p w:rsidR="00066458" w:rsidRPr="00E304A8" w:rsidRDefault="00066458" w:rsidP="00066458">
      <w:pPr>
        <w:spacing w:line="159" w:lineRule="exact"/>
        <w:rPr>
          <w:sz w:val="24"/>
          <w:szCs w:val="24"/>
        </w:rPr>
      </w:pPr>
    </w:p>
    <w:tbl>
      <w:tblPr>
        <w:tblStyle w:val="TableGrid"/>
        <w:tblW w:w="0" w:type="auto"/>
        <w:tblLook w:val="04A0" w:firstRow="1" w:lastRow="0" w:firstColumn="1" w:lastColumn="0" w:noHBand="0" w:noVBand="1"/>
      </w:tblPr>
      <w:tblGrid>
        <w:gridCol w:w="9350"/>
      </w:tblGrid>
      <w:tr w:rsidR="00066458" w:rsidRPr="00E304A8" w:rsidTr="00FB214A">
        <w:tc>
          <w:tcPr>
            <w:tcW w:w="10076" w:type="dxa"/>
          </w:tcPr>
          <w:p w:rsidR="00066458" w:rsidRPr="00E304A8" w:rsidRDefault="00066458" w:rsidP="00FB214A">
            <w:pPr>
              <w:spacing w:line="276" w:lineRule="auto"/>
              <w:rPr>
                <w:sz w:val="24"/>
                <w:szCs w:val="24"/>
              </w:rPr>
            </w:pPr>
            <w:r w:rsidRPr="00E304A8">
              <w:rPr>
                <w:sz w:val="24"/>
                <w:szCs w:val="24"/>
              </w:rPr>
              <w:t>Name of the Firm (Block Letter):________________________________________________________</w:t>
            </w:r>
          </w:p>
          <w:p w:rsidR="00066458" w:rsidRPr="00E304A8" w:rsidRDefault="00066458" w:rsidP="00FB214A">
            <w:pPr>
              <w:spacing w:line="276" w:lineRule="auto"/>
              <w:rPr>
                <w:sz w:val="24"/>
                <w:szCs w:val="24"/>
              </w:rPr>
            </w:pPr>
            <w:r w:rsidRPr="00E304A8">
              <w:rPr>
                <w:sz w:val="24"/>
                <w:szCs w:val="24"/>
              </w:rPr>
              <w:t>Name of the CEO (Block Letters):_______________________________________________________</w:t>
            </w:r>
          </w:p>
          <w:p w:rsidR="0000689B" w:rsidRDefault="0000689B" w:rsidP="00FB214A">
            <w:pPr>
              <w:spacing w:line="276" w:lineRule="auto"/>
              <w:rPr>
                <w:sz w:val="24"/>
                <w:szCs w:val="24"/>
              </w:rPr>
            </w:pPr>
          </w:p>
          <w:p w:rsidR="00066458" w:rsidRPr="00E304A8" w:rsidRDefault="00066458" w:rsidP="00FB214A">
            <w:pPr>
              <w:spacing w:line="276" w:lineRule="auto"/>
              <w:rPr>
                <w:sz w:val="24"/>
                <w:szCs w:val="24"/>
              </w:rPr>
            </w:pPr>
            <w:r w:rsidRPr="00E304A8">
              <w:rPr>
                <w:sz w:val="24"/>
                <w:szCs w:val="24"/>
              </w:rPr>
              <w:t xml:space="preserve">CNIC # </w:t>
            </w: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422"/>
              <w:gridCol w:w="422"/>
              <w:gridCol w:w="422"/>
              <w:gridCol w:w="422"/>
              <w:gridCol w:w="422"/>
              <w:gridCol w:w="422"/>
              <w:gridCol w:w="422"/>
              <w:gridCol w:w="422"/>
              <w:gridCol w:w="422"/>
              <w:gridCol w:w="422"/>
              <w:gridCol w:w="422"/>
              <w:gridCol w:w="422"/>
              <w:gridCol w:w="422"/>
              <w:gridCol w:w="422"/>
              <w:gridCol w:w="422"/>
            </w:tblGrid>
            <w:tr w:rsidR="00066458" w:rsidRPr="00E304A8" w:rsidTr="00FB214A">
              <w:trPr>
                <w:trHeight w:val="332"/>
              </w:trPr>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shd w:val="clear" w:color="auto" w:fill="D9D9D9" w:themeFill="background1" w:themeFillShade="D9"/>
                </w:tcPr>
                <w:p w:rsidR="00066458" w:rsidRPr="00E304A8" w:rsidRDefault="00066458" w:rsidP="00FB214A">
                  <w:pPr>
                    <w:spacing w:line="276" w:lineRule="auto"/>
                    <w:rPr>
                      <w:sz w:val="24"/>
                      <w:szCs w:val="24"/>
                    </w:rPr>
                  </w:pPr>
                  <w:r w:rsidRPr="00E304A8">
                    <w:rPr>
                      <w:sz w:val="24"/>
                      <w:szCs w:val="24"/>
                    </w:rPr>
                    <w:t>-</w:t>
                  </w: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Default="00066458" w:rsidP="00FB214A">
                  <w:pPr>
                    <w:spacing w:line="276" w:lineRule="auto"/>
                    <w:rPr>
                      <w:sz w:val="24"/>
                      <w:szCs w:val="24"/>
                    </w:rPr>
                  </w:pPr>
                </w:p>
                <w:p w:rsidR="00FC4A53" w:rsidRPr="00E304A8" w:rsidRDefault="00FC4A53"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tcPr>
                <w:p w:rsidR="00066458" w:rsidRPr="00E304A8" w:rsidRDefault="00066458" w:rsidP="00FB214A">
                  <w:pPr>
                    <w:spacing w:line="276" w:lineRule="auto"/>
                    <w:rPr>
                      <w:sz w:val="24"/>
                      <w:szCs w:val="24"/>
                    </w:rPr>
                  </w:pPr>
                </w:p>
              </w:tc>
              <w:tc>
                <w:tcPr>
                  <w:tcW w:w="422" w:type="dxa"/>
                  <w:shd w:val="clear" w:color="auto" w:fill="D9D9D9" w:themeFill="background1" w:themeFillShade="D9"/>
                </w:tcPr>
                <w:p w:rsidR="00066458" w:rsidRPr="00E304A8" w:rsidRDefault="00066458" w:rsidP="00FB214A">
                  <w:pPr>
                    <w:spacing w:line="276" w:lineRule="auto"/>
                    <w:rPr>
                      <w:sz w:val="24"/>
                      <w:szCs w:val="24"/>
                    </w:rPr>
                  </w:pPr>
                  <w:r w:rsidRPr="00E304A8">
                    <w:rPr>
                      <w:sz w:val="24"/>
                      <w:szCs w:val="24"/>
                    </w:rPr>
                    <w:t>-</w:t>
                  </w:r>
                </w:p>
              </w:tc>
              <w:tc>
                <w:tcPr>
                  <w:tcW w:w="422" w:type="dxa"/>
                </w:tcPr>
                <w:p w:rsidR="00066458" w:rsidRPr="00E304A8" w:rsidRDefault="00066458" w:rsidP="00FB214A">
                  <w:pPr>
                    <w:spacing w:line="276" w:lineRule="auto"/>
                    <w:rPr>
                      <w:sz w:val="24"/>
                      <w:szCs w:val="24"/>
                    </w:rPr>
                  </w:pPr>
                </w:p>
              </w:tc>
            </w:tr>
          </w:tbl>
          <w:p w:rsidR="00066458" w:rsidRPr="00E304A8" w:rsidRDefault="00066458" w:rsidP="00FB214A">
            <w:pPr>
              <w:spacing w:line="276" w:lineRule="auto"/>
              <w:rPr>
                <w:sz w:val="24"/>
                <w:szCs w:val="24"/>
              </w:rPr>
            </w:pPr>
          </w:p>
          <w:p w:rsidR="002A0F60" w:rsidRDefault="002A0F60" w:rsidP="00FB214A">
            <w:pPr>
              <w:spacing w:line="276" w:lineRule="auto"/>
              <w:rPr>
                <w:sz w:val="24"/>
                <w:szCs w:val="24"/>
              </w:rPr>
            </w:pPr>
          </w:p>
          <w:p w:rsidR="00066458" w:rsidRPr="00E304A8" w:rsidRDefault="00066458" w:rsidP="00FB214A">
            <w:pPr>
              <w:spacing w:line="276" w:lineRule="auto"/>
              <w:rPr>
                <w:sz w:val="24"/>
                <w:szCs w:val="24"/>
              </w:rPr>
            </w:pPr>
            <w:r w:rsidRPr="00E304A8">
              <w:rPr>
                <w:sz w:val="24"/>
                <w:szCs w:val="24"/>
              </w:rPr>
              <w:t>Contact Information:_____________________________</w:t>
            </w:r>
            <w:r w:rsidR="002A0F60">
              <w:rPr>
                <w:sz w:val="24"/>
                <w:szCs w:val="24"/>
              </w:rPr>
              <w:t>____________________________</w:t>
            </w:r>
          </w:p>
          <w:p w:rsidR="00066458" w:rsidRPr="00E304A8" w:rsidRDefault="00066458" w:rsidP="00FB214A">
            <w:pPr>
              <w:spacing w:line="276" w:lineRule="auto"/>
              <w:rPr>
                <w:sz w:val="24"/>
                <w:szCs w:val="24"/>
              </w:rPr>
            </w:pPr>
            <w:r w:rsidRPr="00E304A8">
              <w:rPr>
                <w:sz w:val="24"/>
                <w:szCs w:val="24"/>
              </w:rPr>
              <w:t>Postal Address :</w:t>
            </w:r>
            <w:r w:rsidR="002A0F60">
              <w:rPr>
                <w:sz w:val="24"/>
                <w:szCs w:val="24"/>
              </w:rPr>
              <w:t>______________________________________________________________</w:t>
            </w:r>
          </w:p>
          <w:p w:rsidR="00066458" w:rsidRPr="00E304A8" w:rsidRDefault="00066458" w:rsidP="00FB214A">
            <w:pPr>
              <w:spacing w:line="276" w:lineRule="auto"/>
              <w:rPr>
                <w:sz w:val="24"/>
                <w:szCs w:val="24"/>
              </w:rPr>
            </w:pPr>
            <w:r w:rsidRPr="00E304A8">
              <w:rPr>
                <w:sz w:val="24"/>
                <w:szCs w:val="24"/>
              </w:rPr>
              <w:t>Office No.____________ Cell No: __________________Ema</w:t>
            </w:r>
            <w:r w:rsidR="00F74075">
              <w:rPr>
                <w:sz w:val="24"/>
                <w:szCs w:val="24"/>
              </w:rPr>
              <w:t>il :_______________________</w:t>
            </w:r>
          </w:p>
          <w:p w:rsidR="00066458" w:rsidRPr="00E304A8" w:rsidRDefault="00066458" w:rsidP="00FB214A">
            <w:pPr>
              <w:spacing w:line="276" w:lineRule="auto"/>
              <w:rPr>
                <w:sz w:val="24"/>
                <w:szCs w:val="24"/>
              </w:rPr>
            </w:pPr>
            <w:r w:rsidRPr="00E304A8">
              <w:rPr>
                <w:sz w:val="24"/>
                <w:szCs w:val="24"/>
              </w:rPr>
              <w:t>Registration with the sale Tax (Copy to the attached):</w:t>
            </w:r>
          </w:p>
          <w:p w:rsidR="00066458" w:rsidRPr="00E304A8" w:rsidRDefault="00066458" w:rsidP="00FB214A">
            <w:pPr>
              <w:spacing w:line="276" w:lineRule="auto"/>
              <w:rPr>
                <w:sz w:val="24"/>
                <w:szCs w:val="24"/>
              </w:rPr>
            </w:pPr>
            <w:r w:rsidRPr="00E304A8">
              <w:rPr>
                <w:sz w:val="24"/>
                <w:szCs w:val="24"/>
              </w:rPr>
              <w:t>National Tax Non (NTN): ___________________________</w:t>
            </w:r>
            <w:r w:rsidR="00F74075">
              <w:rPr>
                <w:sz w:val="24"/>
                <w:szCs w:val="24"/>
              </w:rPr>
              <w:t>________________________</w:t>
            </w:r>
            <w:r w:rsidR="002A0F60">
              <w:rPr>
                <w:sz w:val="24"/>
                <w:szCs w:val="24"/>
              </w:rPr>
              <w:t>_</w:t>
            </w:r>
            <w:r w:rsidR="00F74075">
              <w:rPr>
                <w:sz w:val="24"/>
                <w:szCs w:val="24"/>
              </w:rPr>
              <w:t>_</w:t>
            </w:r>
          </w:p>
          <w:p w:rsidR="00066458" w:rsidRPr="00E304A8" w:rsidRDefault="00066458" w:rsidP="00FB214A">
            <w:pPr>
              <w:spacing w:line="276" w:lineRule="auto"/>
              <w:rPr>
                <w:sz w:val="24"/>
                <w:szCs w:val="24"/>
              </w:rPr>
            </w:pPr>
            <w:r w:rsidRPr="00E304A8">
              <w:rPr>
                <w:sz w:val="24"/>
                <w:szCs w:val="24"/>
              </w:rPr>
              <w:t>Aggregate of the Total quoted Price:___________________</w:t>
            </w:r>
            <w:r w:rsidR="002A0F60">
              <w:rPr>
                <w:sz w:val="24"/>
                <w:szCs w:val="24"/>
              </w:rPr>
              <w:t>__________________________</w:t>
            </w:r>
          </w:p>
          <w:p w:rsidR="00066458" w:rsidRPr="00E304A8" w:rsidRDefault="00066458" w:rsidP="00FB214A">
            <w:pPr>
              <w:spacing w:line="276" w:lineRule="auto"/>
              <w:rPr>
                <w:sz w:val="24"/>
                <w:szCs w:val="24"/>
              </w:rPr>
            </w:pPr>
            <w:r w:rsidRPr="00E304A8">
              <w:rPr>
                <w:sz w:val="24"/>
                <w:szCs w:val="24"/>
              </w:rPr>
              <w:t>Validity of the Quoted Price:_________________________</w:t>
            </w:r>
            <w:r w:rsidR="00FC4A53">
              <w:rPr>
                <w:sz w:val="24"/>
                <w:szCs w:val="24"/>
              </w:rPr>
              <w:t>__________________________</w:t>
            </w:r>
          </w:p>
          <w:p w:rsidR="00066458" w:rsidRPr="00E304A8" w:rsidRDefault="00066458" w:rsidP="00FB214A">
            <w:pPr>
              <w:spacing w:line="306" w:lineRule="exact"/>
              <w:rPr>
                <w:sz w:val="24"/>
                <w:szCs w:val="24"/>
              </w:rPr>
            </w:pPr>
          </w:p>
        </w:tc>
      </w:tr>
    </w:tbl>
    <w:p w:rsidR="00066458" w:rsidRPr="00E304A8" w:rsidRDefault="00066458" w:rsidP="00066458">
      <w:pPr>
        <w:spacing w:line="306" w:lineRule="exact"/>
        <w:rPr>
          <w:sz w:val="24"/>
          <w:szCs w:val="24"/>
        </w:rPr>
      </w:pPr>
    </w:p>
    <w:p w:rsidR="00066458" w:rsidRPr="00E304A8" w:rsidRDefault="00066458" w:rsidP="00066458">
      <w:pPr>
        <w:ind w:left="140"/>
        <w:rPr>
          <w:sz w:val="20"/>
          <w:szCs w:val="20"/>
        </w:rPr>
      </w:pPr>
      <w:r w:rsidRPr="00E304A8">
        <w:rPr>
          <w:rFonts w:eastAsia="Times New Roman"/>
          <w:b/>
          <w:bCs/>
          <w:sz w:val="24"/>
          <w:szCs w:val="24"/>
          <w:u w:val="single"/>
        </w:rPr>
        <w:t>TERMS &amp; CONDITIONS</w:t>
      </w:r>
    </w:p>
    <w:p w:rsidR="00066458" w:rsidRPr="00E304A8" w:rsidRDefault="00066458" w:rsidP="00066458">
      <w:pPr>
        <w:spacing w:line="129" w:lineRule="exact"/>
        <w:rPr>
          <w:sz w:val="24"/>
          <w:szCs w:val="24"/>
        </w:rPr>
      </w:pPr>
    </w:p>
    <w:p w:rsidR="00066458" w:rsidRPr="00E304A8" w:rsidRDefault="00066458" w:rsidP="00066458">
      <w:pPr>
        <w:ind w:left="140"/>
        <w:rPr>
          <w:sz w:val="20"/>
          <w:szCs w:val="20"/>
        </w:rPr>
      </w:pPr>
      <w:r w:rsidRPr="00E304A8">
        <w:rPr>
          <w:rFonts w:eastAsia="Calibri"/>
          <w:b/>
          <w:bCs/>
          <w:sz w:val="14"/>
          <w:szCs w:val="14"/>
        </w:rPr>
        <w:t>GENERAL TERMS &amp; CONDITIONS FOR TENDER APPLICATION FORM</w:t>
      </w:r>
    </w:p>
    <w:p w:rsidR="00066458" w:rsidRPr="00E304A8" w:rsidRDefault="00066458" w:rsidP="00066458">
      <w:pPr>
        <w:spacing w:line="22" w:lineRule="exact"/>
        <w:rPr>
          <w:sz w:val="24"/>
          <w:szCs w:val="24"/>
        </w:rPr>
      </w:pPr>
    </w:p>
    <w:p w:rsidR="00066458" w:rsidRPr="00E304A8" w:rsidRDefault="00066458" w:rsidP="00066458">
      <w:pPr>
        <w:spacing w:line="235" w:lineRule="auto"/>
        <w:ind w:left="140" w:right="300"/>
        <w:rPr>
          <w:sz w:val="20"/>
          <w:szCs w:val="20"/>
        </w:rPr>
      </w:pPr>
      <w:r w:rsidRPr="00E304A8">
        <w:rPr>
          <w:rFonts w:eastAsia="Calibri"/>
          <w:b/>
          <w:bCs/>
          <w:sz w:val="14"/>
          <w:szCs w:val="14"/>
        </w:rPr>
        <w:t>Introduction</w:t>
      </w:r>
      <w:r w:rsidRPr="00E304A8">
        <w:rPr>
          <w:rFonts w:eastAsia="Calibri"/>
          <w:sz w:val="14"/>
          <w:szCs w:val="14"/>
        </w:rPr>
        <w:t xml:space="preserve"> These General Terms &amp; Conditions govern the application, submission, evaluation, and awarding process of tenders. All applicants must comply with the terms set forth herein.</w:t>
      </w:r>
    </w:p>
    <w:p w:rsidR="00066458" w:rsidRPr="00E304A8" w:rsidRDefault="00066458" w:rsidP="00066458">
      <w:pPr>
        <w:spacing w:line="1" w:lineRule="exact"/>
        <w:rPr>
          <w:sz w:val="24"/>
          <w:szCs w:val="24"/>
        </w:rPr>
      </w:pPr>
    </w:p>
    <w:p w:rsidR="00066458" w:rsidRPr="00E304A8" w:rsidRDefault="00066458" w:rsidP="00066458">
      <w:pPr>
        <w:ind w:left="140"/>
        <w:rPr>
          <w:sz w:val="20"/>
          <w:szCs w:val="20"/>
        </w:rPr>
      </w:pPr>
      <w:r w:rsidRPr="00E304A8">
        <w:rPr>
          <w:rFonts w:eastAsia="Calibri"/>
          <w:b/>
          <w:bCs/>
          <w:sz w:val="14"/>
          <w:szCs w:val="14"/>
        </w:rPr>
        <w:t>Eligibility Criteria</w:t>
      </w:r>
    </w:p>
    <w:p w:rsidR="00066458" w:rsidRPr="00E304A8" w:rsidRDefault="00066458" w:rsidP="00066458">
      <w:pPr>
        <w:numPr>
          <w:ilvl w:val="0"/>
          <w:numId w:val="1"/>
        </w:numPr>
        <w:tabs>
          <w:tab w:val="left" w:pos="860"/>
        </w:tabs>
        <w:ind w:left="860" w:hanging="233"/>
        <w:rPr>
          <w:rFonts w:eastAsia="Times New Roman"/>
          <w:sz w:val="14"/>
          <w:szCs w:val="14"/>
        </w:rPr>
      </w:pPr>
      <w:r w:rsidRPr="00E304A8">
        <w:rPr>
          <w:rFonts w:eastAsia="Calibri"/>
          <w:sz w:val="14"/>
          <w:szCs w:val="14"/>
        </w:rPr>
        <w:t>Applicants must be legally registered entities or individuals authorized to conduct business.</w:t>
      </w:r>
    </w:p>
    <w:p w:rsidR="00066458" w:rsidRPr="00E304A8" w:rsidRDefault="00066458" w:rsidP="00066458">
      <w:pPr>
        <w:numPr>
          <w:ilvl w:val="0"/>
          <w:numId w:val="1"/>
        </w:numPr>
        <w:tabs>
          <w:tab w:val="left" w:pos="860"/>
        </w:tabs>
        <w:ind w:left="860" w:hanging="233"/>
        <w:rPr>
          <w:rFonts w:eastAsia="Times New Roman"/>
          <w:sz w:val="14"/>
          <w:szCs w:val="14"/>
        </w:rPr>
      </w:pPr>
      <w:r w:rsidRPr="00E304A8">
        <w:rPr>
          <w:rFonts w:eastAsia="Calibri"/>
          <w:sz w:val="14"/>
          <w:szCs w:val="14"/>
        </w:rPr>
        <w:t>All applicants must provide valid business registration documents, tax clearance certificates, and any other required legal documentation.</w:t>
      </w:r>
    </w:p>
    <w:p w:rsidR="00066458" w:rsidRPr="00E304A8" w:rsidRDefault="00066458" w:rsidP="00066458">
      <w:pPr>
        <w:numPr>
          <w:ilvl w:val="0"/>
          <w:numId w:val="1"/>
        </w:numPr>
        <w:tabs>
          <w:tab w:val="left" w:pos="860"/>
        </w:tabs>
        <w:ind w:left="860" w:hanging="233"/>
        <w:rPr>
          <w:rFonts w:eastAsia="Times New Roman"/>
          <w:sz w:val="14"/>
          <w:szCs w:val="14"/>
        </w:rPr>
      </w:pPr>
      <w:r w:rsidRPr="00E304A8">
        <w:rPr>
          <w:rFonts w:eastAsia="Calibri"/>
          <w:sz w:val="14"/>
          <w:szCs w:val="14"/>
        </w:rPr>
        <w:t>Any applicant found guilty of fraudulent activities, conflicts of interest, or corruption will be disqualified.</w:t>
      </w:r>
    </w:p>
    <w:p w:rsidR="00066458" w:rsidRPr="00E304A8" w:rsidRDefault="00066458" w:rsidP="00066458">
      <w:pPr>
        <w:ind w:left="140"/>
        <w:rPr>
          <w:sz w:val="20"/>
          <w:szCs w:val="20"/>
        </w:rPr>
      </w:pPr>
      <w:r w:rsidRPr="00E304A8">
        <w:rPr>
          <w:rFonts w:eastAsia="Calibri"/>
          <w:b/>
          <w:bCs/>
          <w:sz w:val="14"/>
          <w:szCs w:val="14"/>
        </w:rPr>
        <w:t>Application Submission</w:t>
      </w:r>
    </w:p>
    <w:p w:rsidR="00066458" w:rsidRPr="00E304A8" w:rsidRDefault="00066458" w:rsidP="00066458">
      <w:pPr>
        <w:numPr>
          <w:ilvl w:val="0"/>
          <w:numId w:val="2"/>
        </w:numPr>
        <w:tabs>
          <w:tab w:val="left" w:pos="860"/>
        </w:tabs>
        <w:ind w:left="860" w:hanging="233"/>
        <w:rPr>
          <w:rFonts w:eastAsia="Times New Roman"/>
          <w:sz w:val="14"/>
          <w:szCs w:val="14"/>
        </w:rPr>
      </w:pPr>
      <w:r w:rsidRPr="00E304A8">
        <w:rPr>
          <w:rFonts w:eastAsia="Calibri"/>
          <w:sz w:val="14"/>
          <w:szCs w:val="14"/>
        </w:rPr>
        <w:t>All tenders must be submitted in the prescribed format before the stated deadline.</w:t>
      </w:r>
    </w:p>
    <w:p w:rsidR="00066458" w:rsidRPr="00E304A8" w:rsidRDefault="00066458" w:rsidP="00066458">
      <w:pPr>
        <w:numPr>
          <w:ilvl w:val="0"/>
          <w:numId w:val="2"/>
        </w:numPr>
        <w:tabs>
          <w:tab w:val="left" w:pos="860"/>
        </w:tabs>
        <w:ind w:left="860" w:hanging="233"/>
        <w:rPr>
          <w:rFonts w:eastAsia="Times New Roman"/>
          <w:sz w:val="14"/>
          <w:szCs w:val="14"/>
        </w:rPr>
      </w:pPr>
      <w:r w:rsidRPr="00E304A8">
        <w:rPr>
          <w:rFonts w:eastAsia="Calibri"/>
          <w:sz w:val="14"/>
          <w:szCs w:val="14"/>
        </w:rPr>
        <w:t>Incomplete or late submissions will not be considered.</w:t>
      </w:r>
    </w:p>
    <w:p w:rsidR="00066458" w:rsidRPr="00E304A8" w:rsidRDefault="00066458" w:rsidP="00066458">
      <w:pPr>
        <w:numPr>
          <w:ilvl w:val="0"/>
          <w:numId w:val="2"/>
        </w:numPr>
        <w:tabs>
          <w:tab w:val="left" w:pos="860"/>
        </w:tabs>
        <w:ind w:left="860" w:hanging="233"/>
        <w:rPr>
          <w:rFonts w:eastAsia="Times New Roman"/>
          <w:sz w:val="14"/>
          <w:szCs w:val="14"/>
        </w:rPr>
      </w:pPr>
      <w:r w:rsidRPr="00E304A8">
        <w:rPr>
          <w:rFonts w:eastAsia="Calibri"/>
          <w:sz w:val="14"/>
          <w:szCs w:val="14"/>
        </w:rPr>
        <w:t>Tenders must be submitted with the required supporting documents, including but not limited to financial statements, company profiles, and past project ref-</w:t>
      </w:r>
      <w:proofErr w:type="spellStart"/>
      <w:r w:rsidRPr="00E304A8">
        <w:rPr>
          <w:rFonts w:eastAsia="Calibri"/>
          <w:sz w:val="14"/>
          <w:szCs w:val="14"/>
        </w:rPr>
        <w:t>erences</w:t>
      </w:r>
      <w:proofErr w:type="spellEnd"/>
      <w:r w:rsidRPr="00E304A8">
        <w:rPr>
          <w:rFonts w:eastAsia="Calibri"/>
          <w:sz w:val="14"/>
          <w:szCs w:val="14"/>
        </w:rPr>
        <w:t>.</w:t>
      </w:r>
    </w:p>
    <w:p w:rsidR="00066458" w:rsidRPr="00E304A8" w:rsidRDefault="00066458" w:rsidP="00066458">
      <w:pPr>
        <w:ind w:left="140"/>
        <w:rPr>
          <w:sz w:val="20"/>
          <w:szCs w:val="20"/>
        </w:rPr>
      </w:pPr>
      <w:r w:rsidRPr="00E304A8">
        <w:rPr>
          <w:rFonts w:eastAsia="Calibri"/>
          <w:b/>
          <w:bCs/>
          <w:sz w:val="14"/>
          <w:szCs w:val="14"/>
        </w:rPr>
        <w:t>Tender Evaluation Process</w:t>
      </w:r>
    </w:p>
    <w:p w:rsidR="00066458" w:rsidRPr="00E304A8" w:rsidRDefault="00066458" w:rsidP="00066458">
      <w:pPr>
        <w:spacing w:line="6" w:lineRule="exact"/>
        <w:rPr>
          <w:sz w:val="24"/>
          <w:szCs w:val="24"/>
        </w:rPr>
      </w:pPr>
    </w:p>
    <w:p w:rsidR="00066458" w:rsidRPr="00E304A8" w:rsidRDefault="00066458" w:rsidP="00066458">
      <w:pPr>
        <w:numPr>
          <w:ilvl w:val="0"/>
          <w:numId w:val="3"/>
        </w:numPr>
        <w:tabs>
          <w:tab w:val="left" w:pos="860"/>
        </w:tabs>
        <w:spacing w:line="235" w:lineRule="auto"/>
        <w:ind w:left="860" w:right="120" w:hanging="233"/>
        <w:rPr>
          <w:rFonts w:eastAsia="Times New Roman"/>
          <w:sz w:val="14"/>
          <w:szCs w:val="14"/>
        </w:rPr>
      </w:pPr>
      <w:r w:rsidRPr="00E304A8">
        <w:rPr>
          <w:rFonts w:eastAsia="Calibri"/>
          <w:sz w:val="14"/>
          <w:szCs w:val="14"/>
        </w:rPr>
        <w:t>The evaluation committee reserves the right to assess all applications based on pre-determined criteria, including technical capability, financial stability, and past performance.</w:t>
      </w:r>
    </w:p>
    <w:p w:rsidR="00066458" w:rsidRPr="00E304A8" w:rsidRDefault="00066458" w:rsidP="00066458">
      <w:pPr>
        <w:spacing w:line="1" w:lineRule="exact"/>
        <w:rPr>
          <w:rFonts w:eastAsia="Times New Roman"/>
          <w:sz w:val="14"/>
          <w:szCs w:val="14"/>
        </w:rPr>
      </w:pPr>
    </w:p>
    <w:p w:rsidR="00066458" w:rsidRPr="00E304A8" w:rsidRDefault="00066458" w:rsidP="00066458">
      <w:pPr>
        <w:numPr>
          <w:ilvl w:val="0"/>
          <w:numId w:val="3"/>
        </w:numPr>
        <w:tabs>
          <w:tab w:val="left" w:pos="860"/>
        </w:tabs>
        <w:ind w:left="860" w:hanging="233"/>
        <w:rPr>
          <w:rFonts w:eastAsia="Times New Roman"/>
          <w:sz w:val="14"/>
          <w:szCs w:val="14"/>
        </w:rPr>
      </w:pPr>
      <w:r w:rsidRPr="00E304A8">
        <w:rPr>
          <w:rFonts w:eastAsia="Calibri"/>
          <w:sz w:val="14"/>
          <w:szCs w:val="14"/>
        </w:rPr>
        <w:t>Shortlisted applicants may be required to provide additional information or attend an interview/presentation.</w:t>
      </w:r>
    </w:p>
    <w:p w:rsidR="00066458" w:rsidRPr="00E304A8" w:rsidRDefault="00066458" w:rsidP="00066458">
      <w:pPr>
        <w:numPr>
          <w:ilvl w:val="0"/>
          <w:numId w:val="3"/>
        </w:numPr>
        <w:tabs>
          <w:tab w:val="left" w:pos="860"/>
        </w:tabs>
        <w:ind w:left="860" w:hanging="233"/>
        <w:rPr>
          <w:rFonts w:eastAsia="Times New Roman"/>
          <w:sz w:val="14"/>
          <w:szCs w:val="14"/>
        </w:rPr>
      </w:pPr>
      <w:r w:rsidRPr="00E304A8">
        <w:rPr>
          <w:rFonts w:eastAsia="Calibri"/>
          <w:sz w:val="14"/>
          <w:szCs w:val="14"/>
        </w:rPr>
        <w:t>The decision of the evaluation committee is final and binding.</w:t>
      </w:r>
    </w:p>
    <w:p w:rsidR="00066458" w:rsidRPr="00E304A8" w:rsidRDefault="00066458" w:rsidP="00066458">
      <w:pPr>
        <w:ind w:left="140"/>
        <w:rPr>
          <w:sz w:val="20"/>
          <w:szCs w:val="20"/>
        </w:rPr>
      </w:pPr>
      <w:r w:rsidRPr="00E304A8">
        <w:rPr>
          <w:rFonts w:eastAsia="Calibri"/>
          <w:b/>
          <w:bCs/>
          <w:sz w:val="14"/>
          <w:szCs w:val="14"/>
        </w:rPr>
        <w:t>Confidentiality</w:t>
      </w:r>
    </w:p>
    <w:p w:rsidR="00066458" w:rsidRPr="00E304A8" w:rsidRDefault="00066458" w:rsidP="00066458">
      <w:pPr>
        <w:numPr>
          <w:ilvl w:val="0"/>
          <w:numId w:val="4"/>
        </w:numPr>
        <w:tabs>
          <w:tab w:val="left" w:pos="860"/>
        </w:tabs>
        <w:ind w:left="860" w:hanging="233"/>
        <w:rPr>
          <w:rFonts w:eastAsia="Times New Roman"/>
          <w:sz w:val="14"/>
          <w:szCs w:val="14"/>
        </w:rPr>
      </w:pPr>
      <w:r w:rsidRPr="00E304A8">
        <w:rPr>
          <w:rFonts w:eastAsia="Calibri"/>
          <w:sz w:val="14"/>
          <w:szCs w:val="14"/>
        </w:rPr>
        <w:t>All submitted tender documents will be treated with confidentiality.</w:t>
      </w:r>
    </w:p>
    <w:p w:rsidR="00066458" w:rsidRPr="00E304A8" w:rsidRDefault="00066458" w:rsidP="00066458">
      <w:pPr>
        <w:numPr>
          <w:ilvl w:val="0"/>
          <w:numId w:val="4"/>
        </w:numPr>
        <w:tabs>
          <w:tab w:val="left" w:pos="860"/>
        </w:tabs>
        <w:ind w:left="860" w:hanging="233"/>
        <w:rPr>
          <w:rFonts w:eastAsia="Times New Roman"/>
          <w:sz w:val="14"/>
          <w:szCs w:val="14"/>
        </w:rPr>
      </w:pPr>
      <w:r w:rsidRPr="00E304A8">
        <w:rPr>
          <w:rFonts w:eastAsia="Calibri"/>
          <w:sz w:val="14"/>
          <w:szCs w:val="14"/>
        </w:rPr>
        <w:t>Applicants must not disclose any information regarding the tendering process to third parties without prior written consent.</w:t>
      </w:r>
    </w:p>
    <w:p w:rsidR="00066458" w:rsidRPr="00E304A8" w:rsidRDefault="00066458" w:rsidP="00066458">
      <w:pPr>
        <w:ind w:left="140"/>
        <w:rPr>
          <w:rFonts w:eastAsia="Times New Roman"/>
          <w:sz w:val="14"/>
          <w:szCs w:val="14"/>
        </w:rPr>
      </w:pPr>
      <w:r w:rsidRPr="00E304A8">
        <w:rPr>
          <w:rFonts w:eastAsia="Calibri"/>
          <w:b/>
          <w:bCs/>
          <w:sz w:val="14"/>
          <w:szCs w:val="14"/>
        </w:rPr>
        <w:t>Amendments &amp; Clarifications</w:t>
      </w:r>
    </w:p>
    <w:p w:rsidR="00066458" w:rsidRPr="00E304A8" w:rsidRDefault="00066458" w:rsidP="00066458">
      <w:pPr>
        <w:spacing w:line="6" w:lineRule="exact"/>
        <w:rPr>
          <w:rFonts w:eastAsia="Times New Roman"/>
          <w:sz w:val="14"/>
          <w:szCs w:val="14"/>
        </w:rPr>
      </w:pPr>
    </w:p>
    <w:p w:rsidR="00066458" w:rsidRPr="00E304A8" w:rsidRDefault="00066458" w:rsidP="00066458">
      <w:pPr>
        <w:numPr>
          <w:ilvl w:val="0"/>
          <w:numId w:val="4"/>
        </w:numPr>
        <w:tabs>
          <w:tab w:val="left" w:pos="860"/>
        </w:tabs>
        <w:spacing w:line="231" w:lineRule="auto"/>
        <w:ind w:left="860" w:hanging="233"/>
        <w:rPr>
          <w:rFonts w:eastAsia="Times New Roman"/>
          <w:sz w:val="14"/>
          <w:szCs w:val="14"/>
        </w:rPr>
      </w:pPr>
      <w:r w:rsidRPr="00E304A8">
        <w:rPr>
          <w:rFonts w:eastAsia="Calibri"/>
          <w:sz w:val="14"/>
          <w:szCs w:val="14"/>
        </w:rPr>
        <w:t>The issuing entity reserves the right to amend or cancel the tender at any time before awarding.</w:t>
      </w:r>
    </w:p>
    <w:p w:rsidR="00066458" w:rsidRPr="00E304A8" w:rsidRDefault="00066458" w:rsidP="00066458">
      <w:pPr>
        <w:numPr>
          <w:ilvl w:val="0"/>
          <w:numId w:val="4"/>
        </w:numPr>
        <w:tabs>
          <w:tab w:val="left" w:pos="860"/>
        </w:tabs>
        <w:ind w:left="860" w:hanging="233"/>
        <w:rPr>
          <w:rFonts w:eastAsia="Times New Roman"/>
          <w:sz w:val="14"/>
          <w:szCs w:val="14"/>
        </w:rPr>
      </w:pPr>
      <w:r w:rsidRPr="00E304A8">
        <w:rPr>
          <w:rFonts w:eastAsia="Calibri"/>
          <w:sz w:val="14"/>
          <w:szCs w:val="14"/>
        </w:rPr>
        <w:t>Any clarifications or amendments will be communicated to all applicants.</w:t>
      </w:r>
    </w:p>
    <w:p w:rsidR="00066458" w:rsidRPr="00E304A8" w:rsidRDefault="00066458" w:rsidP="00066458">
      <w:pPr>
        <w:ind w:left="140"/>
        <w:rPr>
          <w:sz w:val="20"/>
          <w:szCs w:val="20"/>
        </w:rPr>
      </w:pPr>
      <w:r w:rsidRPr="00E304A8">
        <w:rPr>
          <w:rFonts w:eastAsia="Calibri"/>
          <w:b/>
          <w:bCs/>
          <w:sz w:val="14"/>
          <w:szCs w:val="14"/>
        </w:rPr>
        <w:t>Tender Award</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The awarding entity is not bound to accept the lowest bid or any application received.</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The successful applicant will be notified in writing and required to sign a formal contract.</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The contract terms, including scope, pricing, and timelines, must be strictly adhered to.</w:t>
      </w:r>
    </w:p>
    <w:p w:rsidR="00066458" w:rsidRPr="00E304A8" w:rsidRDefault="00066458" w:rsidP="00066458">
      <w:pPr>
        <w:ind w:left="140"/>
        <w:rPr>
          <w:rFonts w:eastAsia="Times New Roman"/>
          <w:sz w:val="14"/>
          <w:szCs w:val="14"/>
        </w:rPr>
      </w:pPr>
      <w:r w:rsidRPr="00E304A8">
        <w:rPr>
          <w:rFonts w:eastAsia="Calibri"/>
          <w:b/>
          <w:bCs/>
          <w:sz w:val="14"/>
          <w:szCs w:val="14"/>
        </w:rPr>
        <w:t>Payment Terms</w:t>
      </w:r>
    </w:p>
    <w:p w:rsidR="00066458" w:rsidRPr="00E304A8" w:rsidRDefault="00066458" w:rsidP="00066458">
      <w:pPr>
        <w:spacing w:line="6" w:lineRule="exact"/>
        <w:rPr>
          <w:rFonts w:eastAsia="Times New Roman"/>
          <w:sz w:val="14"/>
          <w:szCs w:val="14"/>
        </w:rPr>
      </w:pPr>
    </w:p>
    <w:p w:rsidR="00066458" w:rsidRPr="00E304A8" w:rsidRDefault="00066458" w:rsidP="00066458">
      <w:pPr>
        <w:numPr>
          <w:ilvl w:val="0"/>
          <w:numId w:val="5"/>
        </w:numPr>
        <w:tabs>
          <w:tab w:val="left" w:pos="860"/>
        </w:tabs>
        <w:spacing w:line="231" w:lineRule="auto"/>
        <w:ind w:left="860" w:hanging="233"/>
        <w:rPr>
          <w:rFonts w:eastAsia="Times New Roman"/>
          <w:sz w:val="14"/>
          <w:szCs w:val="14"/>
        </w:rPr>
      </w:pPr>
      <w:r w:rsidRPr="00E304A8">
        <w:rPr>
          <w:rFonts w:eastAsia="Calibri"/>
          <w:sz w:val="14"/>
          <w:szCs w:val="14"/>
        </w:rPr>
        <w:t>Payment terms will be outlined in the contract and must be adhered to by both parties.</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Delays in service delivery or contractual breaches may result in penalties or payment delays.</w:t>
      </w:r>
    </w:p>
    <w:p w:rsidR="00066458" w:rsidRPr="00E304A8" w:rsidRDefault="00066458" w:rsidP="00066458">
      <w:pPr>
        <w:ind w:left="140"/>
        <w:rPr>
          <w:rFonts w:eastAsia="Times New Roman"/>
          <w:sz w:val="14"/>
          <w:szCs w:val="14"/>
        </w:rPr>
      </w:pPr>
      <w:r w:rsidRPr="00E304A8">
        <w:rPr>
          <w:rFonts w:eastAsia="Calibri"/>
          <w:b/>
          <w:bCs/>
          <w:sz w:val="14"/>
          <w:szCs w:val="14"/>
        </w:rPr>
        <w:t>Dispute Resolution</w:t>
      </w:r>
    </w:p>
    <w:p w:rsidR="00066458" w:rsidRPr="00E304A8" w:rsidRDefault="00066458" w:rsidP="00066458">
      <w:pPr>
        <w:spacing w:line="6" w:lineRule="exact"/>
        <w:rPr>
          <w:rFonts w:eastAsia="Times New Roman"/>
          <w:sz w:val="14"/>
          <w:szCs w:val="14"/>
        </w:rPr>
      </w:pPr>
    </w:p>
    <w:p w:rsidR="00066458" w:rsidRPr="00E304A8" w:rsidRDefault="00066458" w:rsidP="00066458">
      <w:pPr>
        <w:numPr>
          <w:ilvl w:val="0"/>
          <w:numId w:val="5"/>
        </w:numPr>
        <w:tabs>
          <w:tab w:val="left" w:pos="860"/>
        </w:tabs>
        <w:spacing w:line="231" w:lineRule="auto"/>
        <w:ind w:left="860" w:hanging="233"/>
        <w:rPr>
          <w:rFonts w:eastAsia="Times New Roman"/>
          <w:sz w:val="14"/>
          <w:szCs w:val="14"/>
        </w:rPr>
      </w:pPr>
      <w:r w:rsidRPr="00E304A8">
        <w:rPr>
          <w:rFonts w:eastAsia="Calibri"/>
          <w:sz w:val="14"/>
          <w:szCs w:val="14"/>
        </w:rPr>
        <w:t>Any disputes arising from the tender process or contract execution shall be resolved amicably through negotiations.</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If an amicable resolution is not possible, disputes shall be referred to arbitration or a competent court of law as per applicable jurisdiction.</w:t>
      </w:r>
    </w:p>
    <w:p w:rsidR="00066458" w:rsidRPr="00E304A8" w:rsidRDefault="00066458" w:rsidP="00066458">
      <w:pPr>
        <w:ind w:left="140"/>
        <w:rPr>
          <w:rFonts w:eastAsia="Times New Roman"/>
          <w:sz w:val="14"/>
          <w:szCs w:val="14"/>
        </w:rPr>
      </w:pPr>
      <w:r w:rsidRPr="00E304A8">
        <w:rPr>
          <w:rFonts w:eastAsia="Calibri"/>
          <w:b/>
          <w:bCs/>
          <w:sz w:val="14"/>
          <w:szCs w:val="14"/>
        </w:rPr>
        <w:t>Legal Compliance</w:t>
      </w:r>
    </w:p>
    <w:p w:rsidR="00066458" w:rsidRPr="00E304A8" w:rsidRDefault="00066458" w:rsidP="00066458">
      <w:pPr>
        <w:spacing w:line="6" w:lineRule="exact"/>
        <w:rPr>
          <w:rFonts w:eastAsia="Times New Roman"/>
          <w:sz w:val="14"/>
          <w:szCs w:val="14"/>
        </w:rPr>
      </w:pPr>
    </w:p>
    <w:p w:rsidR="00066458" w:rsidRPr="00E304A8" w:rsidRDefault="00066458" w:rsidP="00066458">
      <w:pPr>
        <w:numPr>
          <w:ilvl w:val="0"/>
          <w:numId w:val="5"/>
        </w:numPr>
        <w:tabs>
          <w:tab w:val="left" w:pos="860"/>
        </w:tabs>
        <w:spacing w:line="231" w:lineRule="auto"/>
        <w:ind w:left="860" w:hanging="233"/>
        <w:rPr>
          <w:rFonts w:eastAsia="Times New Roman"/>
          <w:sz w:val="14"/>
          <w:szCs w:val="14"/>
        </w:rPr>
      </w:pPr>
      <w:r w:rsidRPr="00E304A8">
        <w:rPr>
          <w:rFonts w:eastAsia="Calibri"/>
          <w:sz w:val="14"/>
          <w:szCs w:val="14"/>
        </w:rPr>
        <w:t>Applicants must comply with all applicable laws, regulations, and industry standards.</w:t>
      </w:r>
    </w:p>
    <w:p w:rsidR="00066458" w:rsidRPr="00E304A8" w:rsidRDefault="00066458" w:rsidP="00066458">
      <w:pPr>
        <w:numPr>
          <w:ilvl w:val="0"/>
          <w:numId w:val="5"/>
        </w:numPr>
        <w:tabs>
          <w:tab w:val="left" w:pos="860"/>
        </w:tabs>
        <w:ind w:left="860" w:hanging="233"/>
        <w:rPr>
          <w:rFonts w:eastAsia="Times New Roman"/>
          <w:sz w:val="14"/>
          <w:szCs w:val="14"/>
        </w:rPr>
      </w:pPr>
      <w:r w:rsidRPr="00E304A8">
        <w:rPr>
          <w:rFonts w:eastAsia="Calibri"/>
          <w:sz w:val="14"/>
          <w:szCs w:val="14"/>
        </w:rPr>
        <w:t>Non-compliance may result in disqualification or contract termination.</w:t>
      </w:r>
    </w:p>
    <w:p w:rsidR="00066458" w:rsidRPr="00E304A8" w:rsidRDefault="00066458" w:rsidP="00066458">
      <w:pPr>
        <w:ind w:left="140"/>
        <w:rPr>
          <w:sz w:val="20"/>
          <w:szCs w:val="20"/>
        </w:rPr>
      </w:pPr>
      <w:r w:rsidRPr="00E304A8">
        <w:rPr>
          <w:rFonts w:eastAsia="Calibri"/>
          <w:b/>
          <w:bCs/>
          <w:sz w:val="14"/>
          <w:szCs w:val="14"/>
        </w:rPr>
        <w:t>Indemnity</w:t>
      </w:r>
    </w:p>
    <w:p w:rsidR="00066458" w:rsidRPr="00E304A8" w:rsidRDefault="00066458" w:rsidP="00066458">
      <w:pPr>
        <w:spacing w:line="6" w:lineRule="exact"/>
        <w:rPr>
          <w:sz w:val="24"/>
          <w:szCs w:val="24"/>
        </w:rPr>
      </w:pPr>
    </w:p>
    <w:p w:rsidR="00066458" w:rsidRPr="00E304A8" w:rsidRDefault="00066458" w:rsidP="00066458">
      <w:pPr>
        <w:numPr>
          <w:ilvl w:val="0"/>
          <w:numId w:val="6"/>
        </w:numPr>
        <w:tabs>
          <w:tab w:val="left" w:pos="860"/>
        </w:tabs>
        <w:spacing w:line="235" w:lineRule="auto"/>
        <w:ind w:left="860" w:right="20" w:hanging="233"/>
        <w:rPr>
          <w:rFonts w:eastAsia="Times New Roman"/>
          <w:sz w:val="14"/>
          <w:szCs w:val="14"/>
        </w:rPr>
      </w:pPr>
      <w:r w:rsidRPr="00E304A8">
        <w:rPr>
          <w:rFonts w:eastAsia="Calibri"/>
          <w:sz w:val="14"/>
          <w:szCs w:val="14"/>
        </w:rPr>
        <w:lastRenderedPageBreak/>
        <w:t>The applicant shall indemnify the issuing entity against any claims, damages, or liabilities arising from their participation in the tender or execution of the con-tract.</w:t>
      </w:r>
    </w:p>
    <w:p w:rsidR="00066458" w:rsidRPr="00E304A8" w:rsidRDefault="00066458" w:rsidP="00066458">
      <w:pPr>
        <w:spacing w:line="1" w:lineRule="exact"/>
        <w:rPr>
          <w:sz w:val="24"/>
          <w:szCs w:val="24"/>
        </w:rPr>
      </w:pPr>
    </w:p>
    <w:p w:rsidR="00066458" w:rsidRPr="00E304A8" w:rsidRDefault="00066458" w:rsidP="00066458">
      <w:pPr>
        <w:ind w:left="140"/>
        <w:rPr>
          <w:sz w:val="20"/>
          <w:szCs w:val="20"/>
        </w:rPr>
      </w:pPr>
      <w:r w:rsidRPr="00E304A8">
        <w:rPr>
          <w:rFonts w:eastAsia="Calibri"/>
          <w:b/>
          <w:bCs/>
          <w:sz w:val="14"/>
          <w:szCs w:val="14"/>
        </w:rPr>
        <w:t>Force Majeure</w:t>
      </w:r>
    </w:p>
    <w:p w:rsidR="00066458" w:rsidRPr="00E304A8" w:rsidRDefault="00066458" w:rsidP="00066458">
      <w:pPr>
        <w:spacing w:line="6" w:lineRule="exact"/>
        <w:rPr>
          <w:sz w:val="24"/>
          <w:szCs w:val="24"/>
        </w:rPr>
      </w:pPr>
    </w:p>
    <w:p w:rsidR="00066458" w:rsidRPr="00E304A8" w:rsidRDefault="00066458" w:rsidP="00066458">
      <w:pPr>
        <w:numPr>
          <w:ilvl w:val="0"/>
          <w:numId w:val="7"/>
        </w:numPr>
        <w:tabs>
          <w:tab w:val="left" w:pos="860"/>
        </w:tabs>
        <w:spacing w:line="235" w:lineRule="auto"/>
        <w:ind w:left="860" w:right="80" w:hanging="233"/>
        <w:rPr>
          <w:rFonts w:eastAsia="Times New Roman"/>
          <w:sz w:val="14"/>
          <w:szCs w:val="14"/>
        </w:rPr>
      </w:pPr>
      <w:r w:rsidRPr="00E304A8">
        <w:rPr>
          <w:rFonts w:eastAsia="Calibri"/>
          <w:sz w:val="14"/>
          <w:szCs w:val="14"/>
        </w:rPr>
        <w:t>The issuing entity shall not be held liable for any delays or failure to perform obligations due to circumstances beyond its control, including but not limited to natural disasters, strikes, and government actions.</w:t>
      </w:r>
    </w:p>
    <w:p w:rsidR="00066458" w:rsidRPr="00E304A8" w:rsidRDefault="00066458" w:rsidP="00066458">
      <w:pPr>
        <w:spacing w:line="1" w:lineRule="exact"/>
        <w:rPr>
          <w:rFonts w:eastAsia="Times New Roman"/>
          <w:sz w:val="14"/>
          <w:szCs w:val="14"/>
        </w:rPr>
      </w:pPr>
    </w:p>
    <w:p w:rsidR="00066458" w:rsidRPr="00E304A8" w:rsidRDefault="00066458" w:rsidP="00066458">
      <w:pPr>
        <w:numPr>
          <w:ilvl w:val="0"/>
          <w:numId w:val="7"/>
        </w:numPr>
        <w:tabs>
          <w:tab w:val="left" w:pos="860"/>
        </w:tabs>
        <w:ind w:left="860" w:hanging="233"/>
        <w:rPr>
          <w:rFonts w:eastAsia="Times New Roman"/>
          <w:sz w:val="14"/>
          <w:szCs w:val="14"/>
        </w:rPr>
      </w:pPr>
      <w:r w:rsidRPr="00E304A8">
        <w:rPr>
          <w:rFonts w:eastAsia="Calibri"/>
          <w:sz w:val="14"/>
          <w:szCs w:val="14"/>
        </w:rPr>
        <w:t>By submitting a tender application, the applicant acknowledges that they have read, understood, and agreed to abide by these General Terms &amp; Conditions.</w:t>
      </w:r>
    </w:p>
    <w:p w:rsidR="00066458" w:rsidRPr="00E304A8" w:rsidRDefault="00066458" w:rsidP="00066458">
      <w:pPr>
        <w:spacing w:line="265" w:lineRule="exact"/>
        <w:rPr>
          <w:sz w:val="24"/>
          <w:szCs w:val="24"/>
        </w:rPr>
      </w:pPr>
    </w:p>
    <w:p w:rsidR="00066458" w:rsidRPr="00E304A8" w:rsidRDefault="00066458" w:rsidP="00066458">
      <w:pPr>
        <w:tabs>
          <w:tab w:val="left" w:pos="860"/>
        </w:tabs>
        <w:rPr>
          <w:rFonts w:eastAsia="Arial"/>
          <w:sz w:val="24"/>
          <w:szCs w:val="24"/>
        </w:rPr>
      </w:pPr>
      <w:r w:rsidRPr="00E304A8">
        <w:rPr>
          <w:rFonts w:eastAsia="Times New Roman"/>
          <w:b/>
          <w:bCs/>
          <w:sz w:val="24"/>
          <w:szCs w:val="24"/>
        </w:rPr>
        <w:t>Undertaking</w:t>
      </w:r>
    </w:p>
    <w:p w:rsidR="00066458" w:rsidRPr="00E304A8" w:rsidRDefault="00066458" w:rsidP="00066458">
      <w:pPr>
        <w:spacing w:line="8" w:lineRule="exact"/>
        <w:rPr>
          <w:rFonts w:eastAsia="Arial"/>
          <w:sz w:val="24"/>
          <w:szCs w:val="24"/>
        </w:rPr>
      </w:pPr>
    </w:p>
    <w:p w:rsidR="00066458" w:rsidRPr="00E304A8" w:rsidRDefault="00066458" w:rsidP="00066458">
      <w:pPr>
        <w:ind w:left="860"/>
        <w:rPr>
          <w:rFonts w:eastAsia="Times New Roman"/>
          <w:b/>
          <w:bCs/>
          <w:sz w:val="24"/>
          <w:szCs w:val="24"/>
        </w:rPr>
      </w:pPr>
    </w:p>
    <w:p w:rsidR="00066458" w:rsidRPr="00E304A8" w:rsidRDefault="00066458" w:rsidP="00066458">
      <w:pPr>
        <w:ind w:left="860"/>
        <w:rPr>
          <w:rFonts w:eastAsia="Arial"/>
          <w:sz w:val="24"/>
          <w:szCs w:val="24"/>
        </w:rPr>
      </w:pPr>
      <w:r w:rsidRPr="00E304A8">
        <w:rPr>
          <w:rFonts w:eastAsia="Times New Roman"/>
          <w:b/>
          <w:bCs/>
          <w:sz w:val="24"/>
          <w:szCs w:val="24"/>
        </w:rPr>
        <w:t>It is certified that the above terms &amp; conditions have been read, learned and accepted</w:t>
      </w:r>
      <w:r w:rsidRPr="00E304A8">
        <w:rPr>
          <w:rFonts w:eastAsia="Times New Roman"/>
          <w:sz w:val="24"/>
          <w:szCs w:val="24"/>
        </w:rPr>
        <w:t>.</w:t>
      </w:r>
    </w:p>
    <w:p w:rsidR="00066458" w:rsidRPr="00E304A8" w:rsidRDefault="00066458" w:rsidP="00066458">
      <w:pPr>
        <w:spacing w:line="20" w:lineRule="exact"/>
        <w:rPr>
          <w:sz w:val="24"/>
          <w:szCs w:val="24"/>
        </w:rPr>
      </w:pPr>
      <w:r w:rsidRPr="00E304A8">
        <w:rPr>
          <w:noProof/>
          <w:sz w:val="24"/>
          <w:szCs w:val="24"/>
        </w:rPr>
        <w:drawing>
          <wp:anchor distT="0" distB="0" distL="114300" distR="114300" simplePos="0" relativeHeight="251659264" behindDoc="1" locked="0" layoutInCell="0" allowOverlap="1" wp14:anchorId="4F18DD2B" wp14:editId="07E98747">
            <wp:simplePos x="0" y="0"/>
            <wp:positionH relativeFrom="column">
              <wp:posOffset>541020</wp:posOffset>
            </wp:positionH>
            <wp:positionV relativeFrom="paragraph">
              <wp:posOffset>-151765</wp:posOffset>
            </wp:positionV>
            <wp:extent cx="829310" cy="15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829310" cy="15240"/>
                    </a:xfrm>
                    <a:prstGeom prst="rect">
                      <a:avLst/>
                    </a:prstGeom>
                    <a:noFill/>
                  </pic:spPr>
                </pic:pic>
              </a:graphicData>
            </a:graphic>
          </wp:anchor>
        </w:drawing>
      </w:r>
    </w:p>
    <w:p w:rsidR="00066458" w:rsidRPr="00E304A8" w:rsidRDefault="00066458" w:rsidP="00066458">
      <w:pPr>
        <w:spacing w:line="21" w:lineRule="exact"/>
        <w:rPr>
          <w:sz w:val="24"/>
          <w:szCs w:val="24"/>
        </w:rPr>
      </w:pPr>
    </w:p>
    <w:p w:rsidR="00066458" w:rsidRPr="00E304A8" w:rsidRDefault="00066458" w:rsidP="00066458">
      <w:pPr>
        <w:ind w:left="7340"/>
        <w:rPr>
          <w:sz w:val="20"/>
          <w:szCs w:val="20"/>
        </w:rPr>
      </w:pPr>
      <w:r w:rsidRPr="00E304A8">
        <w:rPr>
          <w:rFonts w:eastAsia="Times New Roman"/>
          <w:b/>
          <w:bCs/>
          <w:sz w:val="24"/>
          <w:szCs w:val="24"/>
        </w:rPr>
        <w:t>_____________________</w:t>
      </w:r>
    </w:p>
    <w:p w:rsidR="00066458" w:rsidRPr="00E304A8" w:rsidRDefault="00066458" w:rsidP="00066458">
      <w:pPr>
        <w:spacing w:line="28" w:lineRule="exact"/>
        <w:rPr>
          <w:sz w:val="24"/>
          <w:szCs w:val="24"/>
        </w:rPr>
      </w:pPr>
    </w:p>
    <w:p w:rsidR="00066458" w:rsidRPr="00E304A8" w:rsidRDefault="00066458" w:rsidP="00066458">
      <w:pPr>
        <w:ind w:left="7340"/>
        <w:rPr>
          <w:sz w:val="20"/>
          <w:szCs w:val="20"/>
        </w:rPr>
      </w:pPr>
      <w:r w:rsidRPr="00E304A8">
        <w:rPr>
          <w:rFonts w:eastAsia="Times New Roman"/>
          <w:sz w:val="24"/>
          <w:szCs w:val="24"/>
        </w:rPr>
        <w:t>Signature of CEO/Bidder</w:t>
      </w:r>
    </w:p>
    <w:p w:rsidR="00066458" w:rsidRPr="00E304A8" w:rsidRDefault="00066458" w:rsidP="00066458">
      <w:pPr>
        <w:ind w:left="7340"/>
        <w:rPr>
          <w:rFonts w:eastAsia="Times New Roman"/>
          <w:sz w:val="24"/>
          <w:szCs w:val="24"/>
        </w:rPr>
      </w:pPr>
      <w:r w:rsidRPr="00E304A8">
        <w:rPr>
          <w:rFonts w:eastAsia="Times New Roman"/>
          <w:sz w:val="24"/>
          <w:szCs w:val="24"/>
        </w:rPr>
        <w:t>Dated: ___/_____/</w:t>
      </w:r>
    </w:p>
    <w:p w:rsidR="00066458" w:rsidRPr="00E304A8" w:rsidRDefault="00066458" w:rsidP="00066458">
      <w:pPr>
        <w:ind w:left="7340"/>
        <w:rPr>
          <w:sz w:val="20"/>
          <w:szCs w:val="20"/>
        </w:rPr>
      </w:pPr>
    </w:p>
    <w:p w:rsidR="00066458" w:rsidRPr="00E304A8" w:rsidRDefault="00066458" w:rsidP="00066458">
      <w:pPr>
        <w:ind w:left="7340"/>
        <w:rPr>
          <w:sz w:val="20"/>
          <w:szCs w:val="20"/>
        </w:rPr>
      </w:pPr>
    </w:p>
    <w:p w:rsidR="00066458" w:rsidRDefault="00066458"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Default="00B44E1D" w:rsidP="00066458">
      <w:pPr>
        <w:ind w:left="7340"/>
        <w:rPr>
          <w:sz w:val="20"/>
          <w:szCs w:val="20"/>
        </w:rPr>
      </w:pPr>
    </w:p>
    <w:p w:rsidR="00B44E1D" w:rsidRPr="00E304A8" w:rsidRDefault="00B44E1D" w:rsidP="00066458">
      <w:pPr>
        <w:ind w:left="7340"/>
        <w:rPr>
          <w:sz w:val="20"/>
          <w:szCs w:val="20"/>
        </w:rPr>
      </w:pPr>
    </w:p>
    <w:p w:rsidR="00066458" w:rsidRDefault="00066458" w:rsidP="00066458">
      <w:pPr>
        <w:ind w:left="7340"/>
        <w:rPr>
          <w:sz w:val="20"/>
          <w:szCs w:val="20"/>
        </w:rPr>
      </w:pPr>
    </w:p>
    <w:p w:rsidR="00066458" w:rsidRDefault="00066458" w:rsidP="00066458">
      <w:pPr>
        <w:ind w:left="7340"/>
        <w:rPr>
          <w:sz w:val="20"/>
          <w:szCs w:val="20"/>
        </w:rPr>
      </w:pPr>
    </w:p>
    <w:p w:rsidR="00066458" w:rsidRDefault="00066458" w:rsidP="00066458">
      <w:pPr>
        <w:ind w:left="7340"/>
        <w:rPr>
          <w:sz w:val="20"/>
          <w:szCs w:val="20"/>
        </w:rPr>
      </w:pPr>
    </w:p>
    <w:p w:rsidR="00066458" w:rsidRDefault="00066458" w:rsidP="00066458">
      <w:pPr>
        <w:ind w:left="7340"/>
        <w:rPr>
          <w:sz w:val="20"/>
          <w:szCs w:val="20"/>
        </w:rPr>
      </w:pPr>
    </w:p>
    <w:p w:rsidR="00066458" w:rsidRPr="00E304A8" w:rsidRDefault="00066458" w:rsidP="00066458">
      <w:pPr>
        <w:ind w:left="7340"/>
        <w:rPr>
          <w:sz w:val="20"/>
          <w:szCs w:val="20"/>
        </w:rPr>
      </w:pPr>
    </w:p>
    <w:p w:rsidR="00066458" w:rsidRPr="00C918F4" w:rsidRDefault="00066458" w:rsidP="00066458">
      <w:pPr>
        <w:ind w:left="-90"/>
        <w:jc w:val="center"/>
        <w:rPr>
          <w:b/>
          <w:sz w:val="36"/>
          <w:szCs w:val="36"/>
        </w:rPr>
      </w:pPr>
      <w:r w:rsidRPr="00C918F4">
        <w:rPr>
          <w:b/>
          <w:sz w:val="36"/>
          <w:szCs w:val="36"/>
        </w:rPr>
        <w:t>PRICE QUOTATION</w:t>
      </w:r>
    </w:p>
    <w:p w:rsidR="00066458" w:rsidRPr="00E304A8" w:rsidRDefault="00066458" w:rsidP="00066458">
      <w:pPr>
        <w:jc w:val="center"/>
        <w:rPr>
          <w:sz w:val="20"/>
          <w:szCs w:val="20"/>
        </w:rPr>
      </w:pPr>
    </w:p>
    <w:p w:rsidR="00066458" w:rsidRPr="00E304A8" w:rsidRDefault="00066458" w:rsidP="00066458">
      <w:pPr>
        <w:jc w:val="right"/>
        <w:rPr>
          <w:sz w:val="20"/>
          <w:szCs w:val="20"/>
        </w:rPr>
      </w:pPr>
    </w:p>
    <w:p w:rsidR="00066458" w:rsidRPr="00E304A8" w:rsidRDefault="00066458" w:rsidP="00066458">
      <w:pPr>
        <w:jc w:val="both"/>
        <w:rPr>
          <w:sz w:val="18"/>
          <w:szCs w:val="18"/>
        </w:rPr>
      </w:pPr>
    </w:p>
    <w:tbl>
      <w:tblPr>
        <w:tblW w:w="11126"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87"/>
        <w:gridCol w:w="4828"/>
        <w:gridCol w:w="1082"/>
        <w:gridCol w:w="1276"/>
        <w:gridCol w:w="1193"/>
      </w:tblGrid>
      <w:tr w:rsidR="00066458" w:rsidRPr="00B44E1D" w:rsidTr="00B44E1D">
        <w:tc>
          <w:tcPr>
            <w:tcW w:w="660"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bookmarkStart w:id="0" w:name="_Hlk197682240"/>
            <w:r w:rsidRPr="00B44E1D">
              <w:rPr>
                <w:rFonts w:eastAsia="Calibri"/>
                <w:b/>
                <w:kern w:val="2"/>
                <w:sz w:val="20"/>
                <w:szCs w:val="20"/>
              </w:rPr>
              <w:t>S NO</w:t>
            </w:r>
          </w:p>
        </w:tc>
        <w:tc>
          <w:tcPr>
            <w:tcW w:w="2087"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r w:rsidRPr="00B44E1D">
              <w:rPr>
                <w:rFonts w:eastAsia="Calibri"/>
                <w:b/>
                <w:kern w:val="2"/>
                <w:sz w:val="20"/>
                <w:szCs w:val="20"/>
              </w:rPr>
              <w:t>ITEMS</w:t>
            </w:r>
          </w:p>
        </w:tc>
        <w:tc>
          <w:tcPr>
            <w:tcW w:w="4828"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r w:rsidRPr="00B44E1D">
              <w:rPr>
                <w:rFonts w:eastAsia="Calibri"/>
                <w:b/>
                <w:kern w:val="2"/>
                <w:sz w:val="20"/>
                <w:szCs w:val="20"/>
              </w:rPr>
              <w:t>SPECIFICATIOS</w:t>
            </w:r>
          </w:p>
        </w:tc>
        <w:tc>
          <w:tcPr>
            <w:tcW w:w="1082"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r w:rsidRPr="00B44E1D">
              <w:rPr>
                <w:rFonts w:eastAsia="Calibri"/>
                <w:b/>
                <w:kern w:val="2"/>
                <w:sz w:val="20"/>
                <w:szCs w:val="20"/>
              </w:rPr>
              <w:t>UNIT</w:t>
            </w:r>
          </w:p>
        </w:tc>
        <w:tc>
          <w:tcPr>
            <w:tcW w:w="1276"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r w:rsidRPr="00B44E1D">
              <w:rPr>
                <w:rFonts w:eastAsia="Calibri"/>
                <w:b/>
                <w:kern w:val="2"/>
                <w:sz w:val="20"/>
                <w:szCs w:val="20"/>
              </w:rPr>
              <w:t>UNIT PRICE</w:t>
            </w:r>
          </w:p>
        </w:tc>
        <w:tc>
          <w:tcPr>
            <w:tcW w:w="1193" w:type="dxa"/>
            <w:shd w:val="clear" w:color="auto" w:fill="EDEDED" w:themeFill="accent3" w:themeFillTint="33"/>
            <w:vAlign w:val="center"/>
          </w:tcPr>
          <w:p w:rsidR="00066458" w:rsidRPr="00B44E1D" w:rsidRDefault="00066458" w:rsidP="00FB214A">
            <w:pPr>
              <w:jc w:val="center"/>
              <w:rPr>
                <w:rFonts w:eastAsia="Calibri"/>
                <w:b/>
                <w:kern w:val="2"/>
                <w:sz w:val="20"/>
                <w:szCs w:val="20"/>
              </w:rPr>
            </w:pPr>
            <w:r w:rsidRPr="00B44E1D">
              <w:rPr>
                <w:rFonts w:eastAsia="Calibri"/>
                <w:b/>
                <w:kern w:val="2"/>
                <w:sz w:val="20"/>
                <w:szCs w:val="20"/>
              </w:rPr>
              <w:t>TOTAL PRICE</w:t>
            </w:r>
          </w:p>
        </w:tc>
      </w:tr>
      <w:tr w:rsidR="004767D3" w:rsidRPr="00B44E1D" w:rsidTr="00B44E1D">
        <w:tc>
          <w:tcPr>
            <w:tcW w:w="660" w:type="dxa"/>
            <w:shd w:val="clear" w:color="auto" w:fill="auto"/>
          </w:tcPr>
          <w:p w:rsidR="004767D3" w:rsidRPr="00B44E1D" w:rsidRDefault="004767D3" w:rsidP="004767D3">
            <w:pPr>
              <w:rPr>
                <w:rFonts w:eastAsia="Calibri"/>
                <w:kern w:val="2"/>
                <w:sz w:val="20"/>
                <w:szCs w:val="20"/>
              </w:rPr>
            </w:pPr>
            <w:r w:rsidRPr="00B44E1D">
              <w:rPr>
                <w:rFonts w:eastAsia="Calibri"/>
                <w:kern w:val="2"/>
                <w:sz w:val="20"/>
                <w:szCs w:val="20"/>
              </w:rPr>
              <w:t>1</w:t>
            </w:r>
          </w:p>
        </w:tc>
        <w:tc>
          <w:tcPr>
            <w:tcW w:w="2087" w:type="dxa"/>
            <w:shd w:val="clear" w:color="auto" w:fill="auto"/>
          </w:tcPr>
          <w:p w:rsidR="004767D3" w:rsidRPr="00B44E1D" w:rsidRDefault="004767D3" w:rsidP="004767D3">
            <w:pPr>
              <w:rPr>
                <w:rFonts w:eastAsia="Times New Roman"/>
                <w:color w:val="000000"/>
                <w:sz w:val="20"/>
                <w:szCs w:val="20"/>
              </w:rPr>
            </w:pPr>
            <w:r w:rsidRPr="00B44E1D">
              <w:rPr>
                <w:rFonts w:eastAsia="Times New Roman"/>
                <w:color w:val="000000"/>
                <w:sz w:val="20"/>
                <w:szCs w:val="20"/>
              </w:rPr>
              <w:t>SMD BACKDROP 10x20"</w:t>
            </w:r>
          </w:p>
        </w:tc>
        <w:tc>
          <w:tcPr>
            <w:tcW w:w="4828" w:type="dxa"/>
            <w:shd w:val="clear" w:color="auto" w:fill="auto"/>
            <w:vAlign w:val="center"/>
          </w:tcPr>
          <w:p w:rsidR="004767D3" w:rsidRPr="00D8112F" w:rsidRDefault="004767D3" w:rsidP="004767D3">
            <w:pPr>
              <w:rPr>
                <w:rFonts w:eastAsia="Times New Roman"/>
                <w:color w:val="000000"/>
                <w:sz w:val="20"/>
                <w:szCs w:val="20"/>
              </w:rPr>
            </w:pPr>
            <w:r w:rsidRPr="00B44E1D">
              <w:rPr>
                <w:sz w:val="20"/>
                <w:szCs w:val="20"/>
              </w:rPr>
              <w:t>A high-resolution LED display backdrop measuring 10 feet by 20 feet for vibrant visual presentations.</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bookmarkStart w:id="1" w:name="_GoBack"/>
            <w:bookmarkEnd w:id="1"/>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kern w:val="2"/>
                <w:sz w:val="20"/>
                <w:szCs w:val="20"/>
              </w:rPr>
            </w:pPr>
            <w:r w:rsidRPr="00B44E1D">
              <w:rPr>
                <w:rFonts w:eastAsia="Calibri"/>
                <w:kern w:val="2"/>
                <w:sz w:val="20"/>
                <w:szCs w:val="20"/>
              </w:rPr>
              <w:t>2</w:t>
            </w:r>
          </w:p>
        </w:tc>
        <w:tc>
          <w:tcPr>
            <w:tcW w:w="2087" w:type="dxa"/>
            <w:shd w:val="clear" w:color="auto" w:fill="auto"/>
          </w:tcPr>
          <w:p w:rsidR="004767D3" w:rsidRPr="00B44E1D" w:rsidRDefault="004767D3" w:rsidP="004767D3">
            <w:pPr>
              <w:rPr>
                <w:rFonts w:eastAsia="Times New Roman"/>
                <w:color w:val="000000"/>
                <w:sz w:val="20"/>
                <w:szCs w:val="20"/>
              </w:rPr>
            </w:pPr>
            <w:r w:rsidRPr="00B44E1D">
              <w:rPr>
                <w:rFonts w:eastAsia="Times New Roman"/>
                <w:color w:val="000000"/>
                <w:sz w:val="20"/>
                <w:szCs w:val="20"/>
              </w:rPr>
              <w:t>BILLBOARD 60X25"</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A large outdoor advertising board sized 60 feet by 25 feet for maximum visibility.</w:t>
            </w:r>
          </w:p>
        </w:tc>
        <w:tc>
          <w:tcPr>
            <w:tcW w:w="1082" w:type="dxa"/>
            <w:shd w:val="clear" w:color="auto" w:fill="auto"/>
            <w:vAlign w:val="center"/>
          </w:tcPr>
          <w:p w:rsidR="004767D3" w:rsidRPr="00B44E1D" w:rsidRDefault="004767D3" w:rsidP="004767D3">
            <w:pPr>
              <w:jc w:val="right"/>
              <w:rPr>
                <w:sz w:val="20"/>
                <w:szCs w:val="20"/>
              </w:rPr>
            </w:pPr>
            <w:r>
              <w:rPr>
                <w:sz w:val="20"/>
                <w:szCs w:val="20"/>
              </w:rPr>
              <w:t>3</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kern w:val="2"/>
                <w:sz w:val="20"/>
                <w:szCs w:val="20"/>
              </w:rPr>
            </w:pPr>
            <w:r w:rsidRPr="00B44E1D">
              <w:rPr>
                <w:rFonts w:eastAsia="Calibri"/>
                <w:kern w:val="2"/>
                <w:sz w:val="20"/>
                <w:szCs w:val="20"/>
              </w:rPr>
              <w:t>3</w:t>
            </w:r>
          </w:p>
        </w:tc>
        <w:tc>
          <w:tcPr>
            <w:tcW w:w="2087" w:type="dxa"/>
            <w:shd w:val="clear" w:color="auto" w:fill="auto"/>
          </w:tcPr>
          <w:p w:rsidR="004767D3" w:rsidRPr="00B44E1D" w:rsidRDefault="004767D3" w:rsidP="004767D3">
            <w:pPr>
              <w:rPr>
                <w:rFonts w:eastAsia="Times New Roman"/>
                <w:color w:val="000000"/>
                <w:sz w:val="20"/>
                <w:szCs w:val="20"/>
              </w:rPr>
            </w:pPr>
            <w:r w:rsidRPr="00B44E1D">
              <w:rPr>
                <w:rFonts w:eastAsia="Times New Roman"/>
                <w:color w:val="000000"/>
                <w:sz w:val="20"/>
                <w:szCs w:val="20"/>
              </w:rPr>
              <w:t>BILLBOARDS SKIN PRINT (FEET) "</w:t>
            </w:r>
          </w:p>
        </w:tc>
        <w:tc>
          <w:tcPr>
            <w:tcW w:w="4828" w:type="dxa"/>
            <w:shd w:val="clear" w:color="auto" w:fill="auto"/>
            <w:vAlign w:val="center"/>
          </w:tcPr>
          <w:p w:rsidR="004767D3" w:rsidRPr="00D8112F" w:rsidRDefault="004767D3" w:rsidP="003A4DBF">
            <w:pPr>
              <w:pStyle w:val="NormalWeb"/>
              <w:rPr>
                <w:sz w:val="20"/>
                <w:szCs w:val="20"/>
              </w:rPr>
            </w:pPr>
            <w:r w:rsidRPr="00B44E1D">
              <w:rPr>
                <w:sz w:val="20"/>
                <w:szCs w:val="20"/>
              </w:rPr>
              <w:t>Durable vinyl skin prints for billboards, customized to fit dimensions in</w:t>
            </w:r>
            <w:r w:rsidR="003A4DBF">
              <w:rPr>
                <w:sz w:val="20"/>
                <w:szCs w:val="20"/>
              </w:rPr>
              <w:t xml:space="preserve"> (10x20)</w:t>
            </w:r>
            <w:r w:rsidRPr="00B44E1D">
              <w:rPr>
                <w:sz w:val="20"/>
                <w:szCs w:val="20"/>
              </w:rPr>
              <w:t xml:space="preserve"> </w:t>
            </w:r>
            <w:r w:rsidRPr="003A4DBF">
              <w:rPr>
                <w:sz w:val="20"/>
                <w:szCs w:val="20"/>
              </w:rPr>
              <w:t>feet.</w:t>
            </w:r>
            <w:r w:rsidR="003A4DBF" w:rsidRPr="003A4DBF">
              <w:rPr>
                <w:sz w:val="20"/>
                <w:szCs w:val="20"/>
              </w:rPr>
              <w:t xml:space="preserve"> Designed for high-resolution outdoor visibility and durability.</w:t>
            </w:r>
          </w:p>
        </w:tc>
        <w:tc>
          <w:tcPr>
            <w:tcW w:w="1082" w:type="dxa"/>
            <w:shd w:val="clear" w:color="auto" w:fill="auto"/>
            <w:vAlign w:val="center"/>
          </w:tcPr>
          <w:p w:rsidR="004767D3" w:rsidRPr="00B44E1D" w:rsidRDefault="003A4DBF" w:rsidP="004767D3">
            <w:pPr>
              <w:jc w:val="right"/>
              <w:rPr>
                <w:sz w:val="20"/>
                <w:szCs w:val="20"/>
              </w:rPr>
            </w:pPr>
            <w:r>
              <w:rPr>
                <w:sz w:val="20"/>
                <w:szCs w:val="20"/>
              </w:rPr>
              <w:t>2</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kern w:val="2"/>
                <w:sz w:val="20"/>
                <w:szCs w:val="20"/>
              </w:rPr>
            </w:pPr>
            <w:r w:rsidRPr="00B44E1D">
              <w:rPr>
                <w:rFonts w:eastAsia="Calibri"/>
                <w:kern w:val="2"/>
                <w:sz w:val="20"/>
                <w:szCs w:val="20"/>
              </w:rPr>
              <w:t>4</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"SSOUND SP2"</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A professional-grade dual speaker sound system (SP2) for clear audio coverage at events.</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5</w:t>
            </w:r>
          </w:p>
        </w:tc>
        <w:tc>
          <w:tcPr>
            <w:tcW w:w="2087" w:type="dxa"/>
            <w:shd w:val="clear" w:color="auto" w:fill="auto"/>
          </w:tcPr>
          <w:p w:rsidR="004767D3" w:rsidRPr="00B44E1D" w:rsidRDefault="004767D3" w:rsidP="004767D3">
            <w:pPr>
              <w:rPr>
                <w:rFonts w:eastAsia="Times New Roman"/>
                <w:sz w:val="20"/>
                <w:szCs w:val="20"/>
              </w:rPr>
            </w:pPr>
            <w:r w:rsidRPr="00D8112F">
              <w:rPr>
                <w:rFonts w:eastAsia="Times New Roman"/>
                <w:sz w:val="20"/>
                <w:szCs w:val="20"/>
              </w:rPr>
              <w:t>"Stall Setup with 7 x 8 with Counter 2</w:t>
            </w:r>
          </w:p>
        </w:tc>
        <w:tc>
          <w:tcPr>
            <w:tcW w:w="4828" w:type="dxa"/>
            <w:shd w:val="clear" w:color="auto" w:fill="auto"/>
            <w:vAlign w:val="center"/>
          </w:tcPr>
          <w:p w:rsidR="004767D3" w:rsidRPr="00D8112F" w:rsidRDefault="004767D3" w:rsidP="004767D3">
            <w:pPr>
              <w:rPr>
                <w:rFonts w:eastAsia="Times New Roman"/>
                <w:sz w:val="20"/>
                <w:szCs w:val="20"/>
              </w:rPr>
            </w:pPr>
            <w:r w:rsidRPr="00B44E1D">
              <w:rPr>
                <w:sz w:val="20"/>
                <w:szCs w:val="20"/>
              </w:rPr>
              <w:t>Exhibition stall setup measuring 7 feet by 8 feet, including two counters for interaction and display</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6</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"PUZZLE PROP "</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A decorative or interactive prop designed in puzzle format for thematic engagement.</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7</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"VIDEO &amp; PHOTOGRAPHER"</w:t>
            </w:r>
          </w:p>
        </w:tc>
        <w:tc>
          <w:tcPr>
            <w:tcW w:w="4828" w:type="dxa"/>
            <w:shd w:val="clear" w:color="auto" w:fill="auto"/>
            <w:vAlign w:val="center"/>
          </w:tcPr>
          <w:p w:rsidR="004767D3" w:rsidRPr="00D8112F" w:rsidRDefault="004767D3" w:rsidP="004767D3">
            <w:pPr>
              <w:rPr>
                <w:rFonts w:eastAsia="Times New Roman"/>
                <w:color w:val="000000"/>
                <w:sz w:val="20"/>
                <w:szCs w:val="20"/>
              </w:rPr>
            </w:pPr>
            <w:r w:rsidRPr="00B44E1D">
              <w:rPr>
                <w:sz w:val="20"/>
                <w:szCs w:val="20"/>
              </w:rPr>
              <w:t>Professional videography and photography services for event coverage and documentation.</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8</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"MEDIA WALL"</w:t>
            </w:r>
          </w:p>
        </w:tc>
        <w:tc>
          <w:tcPr>
            <w:tcW w:w="4828" w:type="dxa"/>
            <w:shd w:val="clear" w:color="auto" w:fill="auto"/>
            <w:vAlign w:val="center"/>
          </w:tcPr>
          <w:p w:rsidR="004767D3" w:rsidRPr="00D8112F" w:rsidRDefault="004767D3" w:rsidP="004767D3">
            <w:pPr>
              <w:rPr>
                <w:rFonts w:eastAsia="Times New Roman"/>
                <w:color w:val="000000"/>
                <w:sz w:val="20"/>
                <w:szCs w:val="20"/>
              </w:rPr>
            </w:pPr>
            <w:r w:rsidRPr="00B44E1D">
              <w:rPr>
                <w:sz w:val="20"/>
                <w:szCs w:val="20"/>
              </w:rPr>
              <w:t>A branded backdrop wall used for press interactions and photo opportunities, typically featuring sponsor logos</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9</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"BACKDROP 10’ X 20’"</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A printed or fabric backdrop sized 10 feet by 20 feet for stage or event decoration.</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10</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"X STANDEES"</w:t>
            </w:r>
          </w:p>
        </w:tc>
        <w:tc>
          <w:tcPr>
            <w:tcW w:w="4828" w:type="dxa"/>
            <w:shd w:val="clear" w:color="auto" w:fill="auto"/>
            <w:vAlign w:val="center"/>
          </w:tcPr>
          <w:p w:rsidR="004767D3" w:rsidRPr="00D8112F" w:rsidRDefault="004767D3" w:rsidP="004767D3">
            <w:pPr>
              <w:rPr>
                <w:rFonts w:eastAsia="Times New Roman"/>
                <w:color w:val="000000"/>
                <w:sz w:val="20"/>
                <w:szCs w:val="20"/>
              </w:rPr>
            </w:pPr>
            <w:r w:rsidRPr="00B44E1D">
              <w:rPr>
                <w:sz w:val="20"/>
                <w:szCs w:val="20"/>
              </w:rPr>
              <w:t>Portable X-frame banner stands for promotional graphics and branding.</w:t>
            </w:r>
          </w:p>
        </w:tc>
        <w:tc>
          <w:tcPr>
            <w:tcW w:w="1082" w:type="dxa"/>
            <w:shd w:val="clear" w:color="auto" w:fill="auto"/>
            <w:vAlign w:val="center"/>
          </w:tcPr>
          <w:p w:rsidR="004767D3" w:rsidRPr="00B44E1D" w:rsidRDefault="004767D3" w:rsidP="004767D3">
            <w:pPr>
              <w:jc w:val="right"/>
              <w:rPr>
                <w:sz w:val="20"/>
                <w:szCs w:val="20"/>
              </w:rPr>
            </w:pPr>
            <w:r>
              <w:rPr>
                <w:sz w:val="20"/>
                <w:szCs w:val="20"/>
              </w:rPr>
              <w:t>4</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20000E">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11</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"TRANSPORTATION (Loading Unloading)"</w:t>
            </w:r>
          </w:p>
        </w:tc>
        <w:tc>
          <w:tcPr>
            <w:tcW w:w="4828" w:type="dxa"/>
            <w:shd w:val="clear" w:color="auto" w:fill="auto"/>
            <w:vAlign w:val="center"/>
          </w:tcPr>
          <w:p w:rsidR="004767D3" w:rsidRPr="00D8112F" w:rsidRDefault="004767D3" w:rsidP="004767D3">
            <w:pPr>
              <w:pStyle w:val="NormalWeb"/>
              <w:rPr>
                <w:sz w:val="20"/>
                <w:szCs w:val="20"/>
              </w:rPr>
            </w:pPr>
            <w:r w:rsidRPr="004767D3">
              <w:rPr>
                <w:sz w:val="20"/>
                <w:szCs w:val="20"/>
              </w:rPr>
              <w:t>The loading and unloading of logistics for a one-day event must be scheduled with precise time slots, designated access points, safety protocols, and sufficient manpower to ensure efficient, damage-free handling of equipment and materials within the event's setup and teardown windows.</w:t>
            </w:r>
          </w:p>
        </w:tc>
        <w:tc>
          <w:tcPr>
            <w:tcW w:w="1082" w:type="dxa"/>
            <w:shd w:val="clear" w:color="auto" w:fill="auto"/>
            <w:vAlign w:val="center"/>
          </w:tcPr>
          <w:p w:rsidR="004767D3" w:rsidRPr="00B44E1D" w:rsidRDefault="004767D3"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12</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"FOLDERS PRINTING"</w:t>
            </w:r>
          </w:p>
        </w:tc>
        <w:tc>
          <w:tcPr>
            <w:tcW w:w="4828" w:type="dxa"/>
            <w:shd w:val="clear" w:color="auto" w:fill="auto"/>
            <w:vAlign w:val="center"/>
          </w:tcPr>
          <w:p w:rsidR="004767D3" w:rsidRPr="00D8112F" w:rsidRDefault="004767D3" w:rsidP="004767D3">
            <w:pPr>
              <w:rPr>
                <w:rFonts w:eastAsia="Times New Roman"/>
                <w:color w:val="000000"/>
                <w:sz w:val="20"/>
                <w:szCs w:val="20"/>
              </w:rPr>
            </w:pPr>
            <w:r w:rsidRPr="00B44E1D">
              <w:rPr>
                <w:sz w:val="20"/>
                <w:szCs w:val="20"/>
              </w:rPr>
              <w:t>Custom-printed folders for organizing and distributing event materials or corporate documents.</w:t>
            </w:r>
          </w:p>
        </w:tc>
        <w:tc>
          <w:tcPr>
            <w:tcW w:w="1082" w:type="dxa"/>
            <w:shd w:val="clear" w:color="auto" w:fill="auto"/>
            <w:vAlign w:val="center"/>
          </w:tcPr>
          <w:p w:rsidR="004767D3" w:rsidRPr="00B44E1D" w:rsidRDefault="00E57DF2" w:rsidP="004767D3">
            <w:pPr>
              <w:jc w:val="right"/>
              <w:rPr>
                <w:sz w:val="20"/>
                <w:szCs w:val="20"/>
              </w:rPr>
            </w:pPr>
            <w:r>
              <w:rPr>
                <w:sz w:val="20"/>
                <w:szCs w:val="20"/>
              </w:rPr>
              <w:t>275</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13</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"INVITITION CARDS PRINTING"</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Professionally printed invitation cards tailored to the event theme and branding.</w:t>
            </w:r>
          </w:p>
        </w:tc>
        <w:tc>
          <w:tcPr>
            <w:tcW w:w="1082" w:type="dxa"/>
            <w:shd w:val="clear" w:color="auto" w:fill="auto"/>
            <w:vAlign w:val="center"/>
          </w:tcPr>
          <w:p w:rsidR="004767D3" w:rsidRPr="00B44E1D" w:rsidRDefault="009325BD" w:rsidP="004767D3">
            <w:pPr>
              <w:jc w:val="right"/>
              <w:rPr>
                <w:sz w:val="20"/>
                <w:szCs w:val="20"/>
              </w:rPr>
            </w:pPr>
            <w:r>
              <w:rPr>
                <w:sz w:val="20"/>
                <w:szCs w:val="20"/>
              </w:rPr>
              <w:t>390</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14</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"BROCHURES PRINTING"</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High-quality printed brochures for marketing, informational, or promotional purposes.</w:t>
            </w:r>
          </w:p>
        </w:tc>
        <w:tc>
          <w:tcPr>
            <w:tcW w:w="1082" w:type="dxa"/>
            <w:shd w:val="clear" w:color="auto" w:fill="auto"/>
            <w:vAlign w:val="center"/>
          </w:tcPr>
          <w:p w:rsidR="004767D3" w:rsidRPr="00B44E1D" w:rsidRDefault="00237F31" w:rsidP="004767D3">
            <w:pPr>
              <w:jc w:val="right"/>
              <w:rPr>
                <w:sz w:val="20"/>
                <w:szCs w:val="20"/>
              </w:rPr>
            </w:pPr>
            <w:r>
              <w:rPr>
                <w:sz w:val="20"/>
                <w:szCs w:val="20"/>
              </w:rPr>
              <w:t>2000</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4767D3" w:rsidRPr="00B44E1D" w:rsidTr="00B44E1D">
        <w:tc>
          <w:tcPr>
            <w:tcW w:w="660" w:type="dxa"/>
            <w:shd w:val="clear" w:color="auto" w:fill="auto"/>
          </w:tcPr>
          <w:p w:rsidR="004767D3" w:rsidRPr="00B44E1D" w:rsidRDefault="004767D3" w:rsidP="004767D3">
            <w:pPr>
              <w:rPr>
                <w:rFonts w:eastAsia="Calibri"/>
                <w:b/>
                <w:kern w:val="2"/>
                <w:sz w:val="20"/>
                <w:szCs w:val="20"/>
              </w:rPr>
            </w:pPr>
            <w:r w:rsidRPr="00B44E1D">
              <w:rPr>
                <w:rFonts w:eastAsia="Calibri"/>
                <w:b/>
                <w:kern w:val="2"/>
                <w:sz w:val="20"/>
                <w:szCs w:val="20"/>
              </w:rPr>
              <w:t>15</w:t>
            </w:r>
          </w:p>
        </w:tc>
        <w:tc>
          <w:tcPr>
            <w:tcW w:w="2087" w:type="dxa"/>
            <w:shd w:val="clear" w:color="auto" w:fill="auto"/>
          </w:tcPr>
          <w:p w:rsidR="004767D3" w:rsidRPr="00B44E1D" w:rsidRDefault="004767D3" w:rsidP="004767D3">
            <w:pPr>
              <w:rPr>
                <w:rFonts w:eastAsia="Times New Roman"/>
                <w:color w:val="000000"/>
                <w:sz w:val="20"/>
                <w:szCs w:val="20"/>
              </w:rPr>
            </w:pPr>
            <w:r w:rsidRPr="00D8112F">
              <w:rPr>
                <w:rFonts w:eastAsia="Times New Roman"/>
                <w:color w:val="000000"/>
                <w:sz w:val="20"/>
                <w:szCs w:val="20"/>
              </w:rPr>
              <w:t>"INNAUGRATION PLATE WITH BOX STAND"</w:t>
            </w:r>
          </w:p>
        </w:tc>
        <w:tc>
          <w:tcPr>
            <w:tcW w:w="4828" w:type="dxa"/>
            <w:shd w:val="clear" w:color="auto" w:fill="auto"/>
            <w:vAlign w:val="center"/>
          </w:tcPr>
          <w:p w:rsidR="004767D3" w:rsidRPr="00D8112F" w:rsidRDefault="004767D3" w:rsidP="004767D3">
            <w:pPr>
              <w:pStyle w:val="NormalWeb"/>
              <w:rPr>
                <w:sz w:val="20"/>
                <w:szCs w:val="20"/>
              </w:rPr>
            </w:pPr>
            <w:r w:rsidRPr="00B44E1D">
              <w:rPr>
                <w:sz w:val="20"/>
                <w:szCs w:val="20"/>
              </w:rPr>
              <w:t xml:space="preserve">A commemorative inauguration plate mounted on a box stand for ceremonial display. </w:t>
            </w:r>
            <w:r w:rsidRPr="00B44E1D">
              <w:rPr>
                <w:rStyle w:val="Strong"/>
                <w:sz w:val="20"/>
                <w:szCs w:val="20"/>
              </w:rPr>
              <w:t>Material</w:t>
            </w:r>
            <w:r w:rsidRPr="00B44E1D">
              <w:rPr>
                <w:sz w:val="20"/>
                <w:szCs w:val="20"/>
              </w:rPr>
              <w:t>: Premium-grade tempered glass (8–10 mm thickness). High-resolution logos of UNICEF, PITE, and VATT etched or UV-printed in full color</w:t>
            </w:r>
            <w:r w:rsidR="003A4DBF">
              <w:rPr>
                <w:sz w:val="20"/>
                <w:szCs w:val="20"/>
              </w:rPr>
              <w:t>.</w:t>
            </w:r>
          </w:p>
        </w:tc>
        <w:tc>
          <w:tcPr>
            <w:tcW w:w="1082" w:type="dxa"/>
            <w:shd w:val="clear" w:color="auto" w:fill="auto"/>
            <w:vAlign w:val="center"/>
          </w:tcPr>
          <w:p w:rsidR="004767D3" w:rsidRPr="00B44E1D" w:rsidRDefault="00237F31" w:rsidP="004767D3">
            <w:pPr>
              <w:jc w:val="right"/>
              <w:rPr>
                <w:sz w:val="20"/>
                <w:szCs w:val="20"/>
              </w:rPr>
            </w:pPr>
            <w:r>
              <w:rPr>
                <w:sz w:val="20"/>
                <w:szCs w:val="20"/>
              </w:rPr>
              <w:t>1</w:t>
            </w:r>
          </w:p>
        </w:tc>
        <w:tc>
          <w:tcPr>
            <w:tcW w:w="1276" w:type="dxa"/>
            <w:shd w:val="clear" w:color="auto" w:fill="auto"/>
            <w:vAlign w:val="center"/>
          </w:tcPr>
          <w:p w:rsidR="004767D3" w:rsidRPr="00B44E1D" w:rsidRDefault="004767D3" w:rsidP="004767D3">
            <w:pPr>
              <w:jc w:val="right"/>
              <w:rPr>
                <w:sz w:val="20"/>
                <w:szCs w:val="20"/>
              </w:rPr>
            </w:pPr>
          </w:p>
        </w:tc>
        <w:tc>
          <w:tcPr>
            <w:tcW w:w="1193" w:type="dxa"/>
            <w:vAlign w:val="center"/>
          </w:tcPr>
          <w:p w:rsidR="004767D3" w:rsidRPr="00B44E1D" w:rsidRDefault="004767D3" w:rsidP="004767D3">
            <w:pPr>
              <w:jc w:val="right"/>
              <w:rPr>
                <w:sz w:val="20"/>
                <w:szCs w:val="20"/>
              </w:rPr>
            </w:pPr>
          </w:p>
        </w:tc>
      </w:tr>
      <w:tr w:rsidR="00C83272" w:rsidRPr="00B44E1D" w:rsidTr="00C83272">
        <w:trPr>
          <w:trHeight w:val="647"/>
        </w:trPr>
        <w:tc>
          <w:tcPr>
            <w:tcW w:w="660" w:type="dxa"/>
            <w:shd w:val="clear" w:color="auto" w:fill="auto"/>
            <w:vAlign w:val="center"/>
          </w:tcPr>
          <w:p w:rsidR="00C83272" w:rsidRPr="00E21F95" w:rsidRDefault="00C83272" w:rsidP="00C83272">
            <w:pPr>
              <w:jc w:val="center"/>
              <w:rPr>
                <w:rFonts w:eastAsia="Calibri"/>
                <w:b/>
                <w:kern w:val="2"/>
                <w:sz w:val="24"/>
                <w:szCs w:val="24"/>
              </w:rPr>
            </w:pPr>
            <w:r w:rsidRPr="00E21F95">
              <w:rPr>
                <w:rFonts w:eastAsia="Calibri"/>
                <w:b/>
                <w:kern w:val="2"/>
                <w:sz w:val="24"/>
                <w:szCs w:val="24"/>
              </w:rPr>
              <w:t>16</w:t>
            </w:r>
          </w:p>
        </w:tc>
        <w:tc>
          <w:tcPr>
            <w:tcW w:w="2087" w:type="dxa"/>
            <w:shd w:val="clear" w:color="auto" w:fill="auto"/>
            <w:vAlign w:val="center"/>
          </w:tcPr>
          <w:p w:rsidR="00C83272" w:rsidRPr="00E21F95" w:rsidRDefault="00C83272" w:rsidP="00C83272">
            <w:pPr>
              <w:jc w:val="center"/>
              <w:rPr>
                <w:rFonts w:eastAsia="Times New Roman"/>
                <w:b/>
                <w:color w:val="000000"/>
                <w:sz w:val="24"/>
                <w:szCs w:val="24"/>
              </w:rPr>
            </w:pPr>
            <w:r w:rsidRPr="00E21F95">
              <w:rPr>
                <w:rFonts w:eastAsia="Times New Roman"/>
                <w:b/>
                <w:color w:val="000000"/>
                <w:sz w:val="24"/>
                <w:szCs w:val="24"/>
              </w:rPr>
              <w:t>Total Amount</w:t>
            </w:r>
          </w:p>
        </w:tc>
        <w:tc>
          <w:tcPr>
            <w:tcW w:w="4828" w:type="dxa"/>
            <w:shd w:val="clear" w:color="auto" w:fill="auto"/>
            <w:vAlign w:val="center"/>
          </w:tcPr>
          <w:p w:rsidR="00C83272" w:rsidRPr="00E21F95" w:rsidRDefault="00C83272" w:rsidP="00C83272">
            <w:pPr>
              <w:pStyle w:val="NormalWeb"/>
              <w:jc w:val="center"/>
              <w:rPr>
                <w:b/>
              </w:rPr>
            </w:pPr>
          </w:p>
        </w:tc>
        <w:tc>
          <w:tcPr>
            <w:tcW w:w="1082" w:type="dxa"/>
            <w:shd w:val="clear" w:color="auto" w:fill="auto"/>
            <w:vAlign w:val="center"/>
          </w:tcPr>
          <w:p w:rsidR="00C83272" w:rsidRPr="00E21F95" w:rsidRDefault="00C83272" w:rsidP="00C83272">
            <w:pPr>
              <w:jc w:val="center"/>
              <w:rPr>
                <w:b/>
                <w:sz w:val="24"/>
                <w:szCs w:val="24"/>
              </w:rPr>
            </w:pPr>
          </w:p>
        </w:tc>
        <w:tc>
          <w:tcPr>
            <w:tcW w:w="1276" w:type="dxa"/>
            <w:shd w:val="clear" w:color="auto" w:fill="auto"/>
            <w:vAlign w:val="center"/>
          </w:tcPr>
          <w:p w:rsidR="00C83272" w:rsidRPr="00E21F95" w:rsidRDefault="00C83272" w:rsidP="00C83272">
            <w:pPr>
              <w:jc w:val="center"/>
              <w:rPr>
                <w:b/>
                <w:sz w:val="24"/>
                <w:szCs w:val="24"/>
              </w:rPr>
            </w:pPr>
          </w:p>
        </w:tc>
        <w:tc>
          <w:tcPr>
            <w:tcW w:w="1193" w:type="dxa"/>
            <w:vAlign w:val="center"/>
          </w:tcPr>
          <w:p w:rsidR="00C83272" w:rsidRPr="00E21F95" w:rsidRDefault="00C83272" w:rsidP="00C83272">
            <w:pPr>
              <w:jc w:val="center"/>
              <w:rPr>
                <w:b/>
                <w:sz w:val="24"/>
                <w:szCs w:val="24"/>
              </w:rPr>
            </w:pPr>
          </w:p>
        </w:tc>
      </w:tr>
      <w:bookmarkEnd w:id="0"/>
    </w:tbl>
    <w:p w:rsidR="00066458" w:rsidRPr="00E304A8" w:rsidRDefault="00066458" w:rsidP="00066458">
      <w:pPr>
        <w:jc w:val="right"/>
        <w:rPr>
          <w:sz w:val="20"/>
          <w:szCs w:val="20"/>
        </w:rPr>
      </w:pPr>
    </w:p>
    <w:p w:rsidR="00066458" w:rsidRPr="00E304A8" w:rsidRDefault="00066458" w:rsidP="00066458">
      <w:pPr>
        <w:jc w:val="right"/>
        <w:rPr>
          <w:sz w:val="20"/>
          <w:szCs w:val="20"/>
        </w:rPr>
      </w:pPr>
    </w:p>
    <w:p w:rsidR="000F6B40" w:rsidRDefault="000F6B40"/>
    <w:sectPr w:rsidR="000F6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F9D02262"/>
    <w:lvl w:ilvl="0" w:tplc="8C0878C6">
      <w:start w:val="1"/>
      <w:numFmt w:val="bullet"/>
      <w:lvlText w:val="●"/>
      <w:lvlJc w:val="left"/>
    </w:lvl>
    <w:lvl w:ilvl="1" w:tplc="9E662FEE">
      <w:numFmt w:val="decimal"/>
      <w:lvlText w:val=""/>
      <w:lvlJc w:val="left"/>
    </w:lvl>
    <w:lvl w:ilvl="2" w:tplc="4D841A96">
      <w:numFmt w:val="decimal"/>
      <w:lvlText w:val=""/>
      <w:lvlJc w:val="left"/>
    </w:lvl>
    <w:lvl w:ilvl="3" w:tplc="323455F4">
      <w:numFmt w:val="decimal"/>
      <w:lvlText w:val=""/>
      <w:lvlJc w:val="left"/>
    </w:lvl>
    <w:lvl w:ilvl="4" w:tplc="C32E6E44">
      <w:numFmt w:val="decimal"/>
      <w:lvlText w:val=""/>
      <w:lvlJc w:val="left"/>
    </w:lvl>
    <w:lvl w:ilvl="5" w:tplc="B28AEA94">
      <w:numFmt w:val="decimal"/>
      <w:lvlText w:val=""/>
      <w:lvlJc w:val="left"/>
    </w:lvl>
    <w:lvl w:ilvl="6" w:tplc="C2E8F170">
      <w:numFmt w:val="decimal"/>
      <w:lvlText w:val=""/>
      <w:lvlJc w:val="left"/>
    </w:lvl>
    <w:lvl w:ilvl="7" w:tplc="F8DA51B4">
      <w:numFmt w:val="decimal"/>
      <w:lvlText w:val=""/>
      <w:lvlJc w:val="left"/>
    </w:lvl>
    <w:lvl w:ilvl="8" w:tplc="B7BAE7EC">
      <w:numFmt w:val="decimal"/>
      <w:lvlText w:val=""/>
      <w:lvlJc w:val="left"/>
    </w:lvl>
  </w:abstractNum>
  <w:abstractNum w:abstractNumId="1" w15:restartNumberingAfterBreak="0">
    <w:nsid w:val="12200854"/>
    <w:multiLevelType w:val="hybridMultilevel"/>
    <w:tmpl w:val="9BF6BB6E"/>
    <w:lvl w:ilvl="0" w:tplc="EA2ACB10">
      <w:start w:val="1"/>
      <w:numFmt w:val="bullet"/>
      <w:lvlText w:val="●"/>
      <w:lvlJc w:val="left"/>
    </w:lvl>
    <w:lvl w:ilvl="1" w:tplc="9D020402">
      <w:numFmt w:val="decimal"/>
      <w:lvlText w:val=""/>
      <w:lvlJc w:val="left"/>
    </w:lvl>
    <w:lvl w:ilvl="2" w:tplc="1C568B02">
      <w:numFmt w:val="decimal"/>
      <w:lvlText w:val=""/>
      <w:lvlJc w:val="left"/>
    </w:lvl>
    <w:lvl w:ilvl="3" w:tplc="3E9AF730">
      <w:numFmt w:val="decimal"/>
      <w:lvlText w:val=""/>
      <w:lvlJc w:val="left"/>
    </w:lvl>
    <w:lvl w:ilvl="4" w:tplc="AFACD892">
      <w:numFmt w:val="decimal"/>
      <w:lvlText w:val=""/>
      <w:lvlJc w:val="left"/>
    </w:lvl>
    <w:lvl w:ilvl="5" w:tplc="EE4EE0AC">
      <w:numFmt w:val="decimal"/>
      <w:lvlText w:val=""/>
      <w:lvlJc w:val="left"/>
    </w:lvl>
    <w:lvl w:ilvl="6" w:tplc="C91E04CA">
      <w:numFmt w:val="decimal"/>
      <w:lvlText w:val=""/>
      <w:lvlJc w:val="left"/>
    </w:lvl>
    <w:lvl w:ilvl="7" w:tplc="34D09A0E">
      <w:numFmt w:val="decimal"/>
      <w:lvlText w:val=""/>
      <w:lvlJc w:val="left"/>
    </w:lvl>
    <w:lvl w:ilvl="8" w:tplc="82EE55D0">
      <w:numFmt w:val="decimal"/>
      <w:lvlText w:val=""/>
      <w:lvlJc w:val="left"/>
    </w:lvl>
  </w:abstractNum>
  <w:abstractNum w:abstractNumId="2" w15:restartNumberingAfterBreak="0">
    <w:nsid w:val="4DB127F8"/>
    <w:multiLevelType w:val="hybridMultilevel"/>
    <w:tmpl w:val="91A0514C"/>
    <w:lvl w:ilvl="0" w:tplc="5C688094">
      <w:start w:val="1"/>
      <w:numFmt w:val="bullet"/>
      <w:lvlText w:val="●"/>
      <w:lvlJc w:val="left"/>
    </w:lvl>
    <w:lvl w:ilvl="1" w:tplc="3342CC74">
      <w:numFmt w:val="decimal"/>
      <w:lvlText w:val=""/>
      <w:lvlJc w:val="left"/>
    </w:lvl>
    <w:lvl w:ilvl="2" w:tplc="19B6B5FA">
      <w:numFmt w:val="decimal"/>
      <w:lvlText w:val=""/>
      <w:lvlJc w:val="left"/>
    </w:lvl>
    <w:lvl w:ilvl="3" w:tplc="E57ECE5C">
      <w:numFmt w:val="decimal"/>
      <w:lvlText w:val=""/>
      <w:lvlJc w:val="left"/>
    </w:lvl>
    <w:lvl w:ilvl="4" w:tplc="225EEB88">
      <w:numFmt w:val="decimal"/>
      <w:lvlText w:val=""/>
      <w:lvlJc w:val="left"/>
    </w:lvl>
    <w:lvl w:ilvl="5" w:tplc="76307E3E">
      <w:numFmt w:val="decimal"/>
      <w:lvlText w:val=""/>
      <w:lvlJc w:val="left"/>
    </w:lvl>
    <w:lvl w:ilvl="6" w:tplc="78304A40">
      <w:numFmt w:val="decimal"/>
      <w:lvlText w:val=""/>
      <w:lvlJc w:val="left"/>
    </w:lvl>
    <w:lvl w:ilvl="7" w:tplc="DCD45240">
      <w:numFmt w:val="decimal"/>
      <w:lvlText w:val=""/>
      <w:lvlJc w:val="left"/>
    </w:lvl>
    <w:lvl w:ilvl="8" w:tplc="FBC66012">
      <w:numFmt w:val="decimal"/>
      <w:lvlText w:val=""/>
      <w:lvlJc w:val="left"/>
    </w:lvl>
  </w:abstractNum>
  <w:abstractNum w:abstractNumId="3" w15:restartNumberingAfterBreak="0">
    <w:nsid w:val="515F007C"/>
    <w:multiLevelType w:val="hybridMultilevel"/>
    <w:tmpl w:val="3ED02798"/>
    <w:lvl w:ilvl="0" w:tplc="55C4C49C">
      <w:start w:val="1"/>
      <w:numFmt w:val="bullet"/>
      <w:lvlText w:val="●"/>
      <w:lvlJc w:val="left"/>
    </w:lvl>
    <w:lvl w:ilvl="1" w:tplc="466647BC">
      <w:numFmt w:val="decimal"/>
      <w:lvlText w:val=""/>
      <w:lvlJc w:val="left"/>
    </w:lvl>
    <w:lvl w:ilvl="2" w:tplc="7DF83194">
      <w:numFmt w:val="decimal"/>
      <w:lvlText w:val=""/>
      <w:lvlJc w:val="left"/>
    </w:lvl>
    <w:lvl w:ilvl="3" w:tplc="5362716C">
      <w:numFmt w:val="decimal"/>
      <w:lvlText w:val=""/>
      <w:lvlJc w:val="left"/>
    </w:lvl>
    <w:lvl w:ilvl="4" w:tplc="C0F2B1E8">
      <w:numFmt w:val="decimal"/>
      <w:lvlText w:val=""/>
      <w:lvlJc w:val="left"/>
    </w:lvl>
    <w:lvl w:ilvl="5" w:tplc="86BEAEB2">
      <w:numFmt w:val="decimal"/>
      <w:lvlText w:val=""/>
      <w:lvlJc w:val="left"/>
    </w:lvl>
    <w:lvl w:ilvl="6" w:tplc="9208E770">
      <w:numFmt w:val="decimal"/>
      <w:lvlText w:val=""/>
      <w:lvlJc w:val="left"/>
    </w:lvl>
    <w:lvl w:ilvl="7" w:tplc="5A82B554">
      <w:numFmt w:val="decimal"/>
      <w:lvlText w:val=""/>
      <w:lvlJc w:val="left"/>
    </w:lvl>
    <w:lvl w:ilvl="8" w:tplc="EC3A1176">
      <w:numFmt w:val="decimal"/>
      <w:lvlText w:val=""/>
      <w:lvlJc w:val="left"/>
    </w:lvl>
  </w:abstractNum>
  <w:abstractNum w:abstractNumId="4" w15:restartNumberingAfterBreak="0">
    <w:nsid w:val="5BD062C2"/>
    <w:multiLevelType w:val="hybridMultilevel"/>
    <w:tmpl w:val="5B1E0492"/>
    <w:lvl w:ilvl="0" w:tplc="D16A7CF4">
      <w:start w:val="1"/>
      <w:numFmt w:val="bullet"/>
      <w:lvlText w:val="●"/>
      <w:lvlJc w:val="left"/>
    </w:lvl>
    <w:lvl w:ilvl="1" w:tplc="00CAC73A">
      <w:numFmt w:val="decimal"/>
      <w:lvlText w:val=""/>
      <w:lvlJc w:val="left"/>
    </w:lvl>
    <w:lvl w:ilvl="2" w:tplc="93689E5A">
      <w:numFmt w:val="decimal"/>
      <w:lvlText w:val=""/>
      <w:lvlJc w:val="left"/>
    </w:lvl>
    <w:lvl w:ilvl="3" w:tplc="49CC978A">
      <w:numFmt w:val="decimal"/>
      <w:lvlText w:val=""/>
      <w:lvlJc w:val="left"/>
    </w:lvl>
    <w:lvl w:ilvl="4" w:tplc="2892F558">
      <w:numFmt w:val="decimal"/>
      <w:lvlText w:val=""/>
      <w:lvlJc w:val="left"/>
    </w:lvl>
    <w:lvl w:ilvl="5" w:tplc="E9C4C3A6">
      <w:numFmt w:val="decimal"/>
      <w:lvlText w:val=""/>
      <w:lvlJc w:val="left"/>
    </w:lvl>
    <w:lvl w:ilvl="6" w:tplc="718C95A2">
      <w:numFmt w:val="decimal"/>
      <w:lvlText w:val=""/>
      <w:lvlJc w:val="left"/>
    </w:lvl>
    <w:lvl w:ilvl="7" w:tplc="F69E97B6">
      <w:numFmt w:val="decimal"/>
      <w:lvlText w:val=""/>
      <w:lvlJc w:val="left"/>
    </w:lvl>
    <w:lvl w:ilvl="8" w:tplc="ABCE6BB0">
      <w:numFmt w:val="decimal"/>
      <w:lvlText w:val=""/>
      <w:lvlJc w:val="left"/>
    </w:lvl>
  </w:abstractNum>
  <w:abstractNum w:abstractNumId="5" w15:restartNumberingAfterBreak="0">
    <w:nsid w:val="7545E146"/>
    <w:multiLevelType w:val="hybridMultilevel"/>
    <w:tmpl w:val="E234A15C"/>
    <w:lvl w:ilvl="0" w:tplc="B2F0107C">
      <w:start w:val="1"/>
      <w:numFmt w:val="bullet"/>
      <w:lvlText w:val="●"/>
      <w:lvlJc w:val="left"/>
    </w:lvl>
    <w:lvl w:ilvl="1" w:tplc="E94CC282">
      <w:numFmt w:val="decimal"/>
      <w:lvlText w:val=""/>
      <w:lvlJc w:val="left"/>
    </w:lvl>
    <w:lvl w:ilvl="2" w:tplc="9FB0ABE0">
      <w:numFmt w:val="decimal"/>
      <w:lvlText w:val=""/>
      <w:lvlJc w:val="left"/>
    </w:lvl>
    <w:lvl w:ilvl="3" w:tplc="484CFFC4">
      <w:numFmt w:val="decimal"/>
      <w:lvlText w:val=""/>
      <w:lvlJc w:val="left"/>
    </w:lvl>
    <w:lvl w:ilvl="4" w:tplc="9A760C96">
      <w:numFmt w:val="decimal"/>
      <w:lvlText w:val=""/>
      <w:lvlJc w:val="left"/>
    </w:lvl>
    <w:lvl w:ilvl="5" w:tplc="5972E3E0">
      <w:numFmt w:val="decimal"/>
      <w:lvlText w:val=""/>
      <w:lvlJc w:val="left"/>
    </w:lvl>
    <w:lvl w:ilvl="6" w:tplc="B9B87586">
      <w:numFmt w:val="decimal"/>
      <w:lvlText w:val=""/>
      <w:lvlJc w:val="left"/>
    </w:lvl>
    <w:lvl w:ilvl="7" w:tplc="2982B68E">
      <w:numFmt w:val="decimal"/>
      <w:lvlText w:val=""/>
      <w:lvlJc w:val="left"/>
    </w:lvl>
    <w:lvl w:ilvl="8" w:tplc="D4FEB166">
      <w:numFmt w:val="decimal"/>
      <w:lvlText w:val=""/>
      <w:lvlJc w:val="left"/>
    </w:lvl>
  </w:abstractNum>
  <w:abstractNum w:abstractNumId="6" w15:restartNumberingAfterBreak="0">
    <w:nsid w:val="79E2A9E3"/>
    <w:multiLevelType w:val="hybridMultilevel"/>
    <w:tmpl w:val="996EBB0C"/>
    <w:lvl w:ilvl="0" w:tplc="37288946">
      <w:start w:val="1"/>
      <w:numFmt w:val="bullet"/>
      <w:lvlText w:val="●"/>
      <w:lvlJc w:val="left"/>
    </w:lvl>
    <w:lvl w:ilvl="1" w:tplc="BB0C41BA">
      <w:numFmt w:val="decimal"/>
      <w:lvlText w:val=""/>
      <w:lvlJc w:val="left"/>
    </w:lvl>
    <w:lvl w:ilvl="2" w:tplc="CA4E91B8">
      <w:numFmt w:val="decimal"/>
      <w:lvlText w:val=""/>
      <w:lvlJc w:val="left"/>
    </w:lvl>
    <w:lvl w:ilvl="3" w:tplc="D2440CDC">
      <w:numFmt w:val="decimal"/>
      <w:lvlText w:val=""/>
      <w:lvlJc w:val="left"/>
    </w:lvl>
    <w:lvl w:ilvl="4" w:tplc="B68A7220">
      <w:numFmt w:val="decimal"/>
      <w:lvlText w:val=""/>
      <w:lvlJc w:val="left"/>
    </w:lvl>
    <w:lvl w:ilvl="5" w:tplc="CB925C88">
      <w:numFmt w:val="decimal"/>
      <w:lvlText w:val=""/>
      <w:lvlJc w:val="left"/>
    </w:lvl>
    <w:lvl w:ilvl="6" w:tplc="39862BFE">
      <w:numFmt w:val="decimal"/>
      <w:lvlText w:val=""/>
      <w:lvlJc w:val="left"/>
    </w:lvl>
    <w:lvl w:ilvl="7" w:tplc="08CAA930">
      <w:numFmt w:val="decimal"/>
      <w:lvlText w:val=""/>
      <w:lvlJc w:val="left"/>
    </w:lvl>
    <w:lvl w:ilvl="8" w:tplc="2B220C80">
      <w:numFmt w:val="decimal"/>
      <w:lvlText w:val=""/>
      <w:lvlJc w:val="left"/>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40"/>
    <w:rsid w:val="0000689B"/>
    <w:rsid w:val="00066458"/>
    <w:rsid w:val="000F6B40"/>
    <w:rsid w:val="00105994"/>
    <w:rsid w:val="0020000E"/>
    <w:rsid w:val="00237F31"/>
    <w:rsid w:val="002A0F60"/>
    <w:rsid w:val="003A4DBF"/>
    <w:rsid w:val="003A7BB9"/>
    <w:rsid w:val="004767D3"/>
    <w:rsid w:val="005066E4"/>
    <w:rsid w:val="00627884"/>
    <w:rsid w:val="006526E2"/>
    <w:rsid w:val="00667A39"/>
    <w:rsid w:val="007F76FE"/>
    <w:rsid w:val="00927E42"/>
    <w:rsid w:val="009325BD"/>
    <w:rsid w:val="00A85A7B"/>
    <w:rsid w:val="00B44E1D"/>
    <w:rsid w:val="00B523C8"/>
    <w:rsid w:val="00C83272"/>
    <w:rsid w:val="00E21F95"/>
    <w:rsid w:val="00E57DF2"/>
    <w:rsid w:val="00F22838"/>
    <w:rsid w:val="00F74075"/>
    <w:rsid w:val="00F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6CACB-9060-4350-9C37-6865A689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458"/>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B40"/>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F6B40"/>
    <w:rPr>
      <w:b/>
      <w:bCs/>
    </w:rPr>
  </w:style>
  <w:style w:type="table" w:styleId="TableGrid">
    <w:name w:val="Table Grid"/>
    <w:basedOn w:val="TableNormal"/>
    <w:uiPriority w:val="59"/>
    <w:unhideWhenUsed/>
    <w:rsid w:val="00066458"/>
    <w:pPr>
      <w:spacing w:after="0" w:line="240" w:lineRule="auto"/>
    </w:pPr>
    <w:rPr>
      <w:rFonts w:ascii="Times New Roman" w:eastAsiaTheme="minorEastAsia"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458"/>
    <w:pPr>
      <w:spacing w:after="0" w:line="240" w:lineRule="auto"/>
    </w:pPr>
    <w:rPr>
      <w:rFonts w:ascii="Calibri" w:eastAsia="Calibri" w:hAnsi="Calibri" w:cs="Times New Roman"/>
      <w:color w:val="4454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dcterms:created xsi:type="dcterms:W3CDTF">2025-10-23T07:24:00Z</dcterms:created>
  <dcterms:modified xsi:type="dcterms:W3CDTF">2025-11-10T09:36:00Z</dcterms:modified>
</cp:coreProperties>
</file>